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2C" w:rsidRDefault="005138B9" w:rsidP="0016082C">
      <w:pPr>
        <w:spacing w:after="0"/>
        <w:jc w:val="center"/>
        <w:rPr>
          <w:rFonts w:asciiTheme="majorHAnsi" w:hAnsiTheme="majorHAnsi" w:cstheme="majorHAnsi"/>
          <w:b/>
          <w:sz w:val="24"/>
          <w:szCs w:val="24"/>
        </w:rPr>
      </w:pPr>
      <w:r w:rsidRPr="009176B5">
        <w:rPr>
          <w:rFonts w:asciiTheme="majorHAnsi" w:hAnsiTheme="majorHAnsi" w:cstheme="majorHAnsi"/>
          <w:b/>
          <w:sz w:val="24"/>
          <w:szCs w:val="24"/>
        </w:rPr>
        <w:t xml:space="preserve">Need a Break? </w:t>
      </w:r>
    </w:p>
    <w:p w:rsidR="00215AAC" w:rsidRPr="009176B5" w:rsidRDefault="00573BC9" w:rsidP="0016082C">
      <w:pPr>
        <w:spacing w:after="0"/>
        <w:jc w:val="center"/>
        <w:rPr>
          <w:rFonts w:asciiTheme="majorHAnsi" w:hAnsiTheme="majorHAnsi" w:cstheme="majorHAnsi"/>
          <w:b/>
          <w:sz w:val="24"/>
          <w:szCs w:val="24"/>
        </w:rPr>
      </w:pPr>
      <w:r>
        <w:rPr>
          <w:rFonts w:asciiTheme="majorHAnsi" w:hAnsiTheme="majorHAnsi" w:cstheme="majorHAnsi"/>
          <w:b/>
          <w:sz w:val="24"/>
          <w:szCs w:val="24"/>
        </w:rPr>
        <w:t>V</w:t>
      </w:r>
      <w:r w:rsidR="00006DC7" w:rsidRPr="009176B5">
        <w:rPr>
          <w:rFonts w:asciiTheme="majorHAnsi" w:hAnsiTheme="majorHAnsi" w:cstheme="majorHAnsi"/>
          <w:b/>
          <w:sz w:val="24"/>
          <w:szCs w:val="24"/>
        </w:rPr>
        <w:t>isit These Peaceful Spaces Around Campus</w:t>
      </w:r>
    </w:p>
    <w:p w:rsidR="005138B9" w:rsidRDefault="005138B9" w:rsidP="005138B9">
      <w:pPr>
        <w:rPr>
          <w:rFonts w:asciiTheme="majorHAnsi" w:hAnsiTheme="majorHAnsi" w:cstheme="majorHAnsi"/>
          <w:i/>
          <w:sz w:val="24"/>
          <w:szCs w:val="24"/>
        </w:rPr>
      </w:pPr>
    </w:p>
    <w:p w:rsidR="0016082C" w:rsidRPr="009176B5" w:rsidRDefault="0016082C" w:rsidP="005138B9">
      <w:pPr>
        <w:rPr>
          <w:rFonts w:asciiTheme="majorHAnsi" w:hAnsiTheme="majorHAnsi" w:cstheme="majorHAnsi"/>
          <w:i/>
          <w:sz w:val="24"/>
          <w:szCs w:val="24"/>
        </w:rPr>
        <w:sectPr w:rsidR="0016082C" w:rsidRPr="009176B5" w:rsidSect="0016082C">
          <w:pgSz w:w="12240" w:h="15840"/>
          <w:pgMar w:top="720" w:right="720" w:bottom="720" w:left="720" w:header="720" w:footer="720" w:gutter="0"/>
          <w:cols w:space="720"/>
          <w:docGrid w:linePitch="360"/>
        </w:sectPr>
      </w:pPr>
    </w:p>
    <w:p w:rsidR="005138B9" w:rsidRPr="009176B5" w:rsidRDefault="006B3B62" w:rsidP="005138B9">
      <w:pPr>
        <w:rPr>
          <w:rFonts w:asciiTheme="majorHAnsi" w:hAnsiTheme="majorHAnsi" w:cstheme="majorHAnsi"/>
          <w:b/>
          <w:i/>
          <w:sz w:val="24"/>
          <w:szCs w:val="24"/>
        </w:rPr>
      </w:pPr>
      <w:r w:rsidRPr="009176B5">
        <w:rPr>
          <w:rFonts w:asciiTheme="majorHAnsi" w:hAnsiTheme="majorHAnsi" w:cstheme="majorHAnsi"/>
          <w:b/>
          <w:i/>
          <w:sz w:val="24"/>
          <w:szCs w:val="24"/>
        </w:rPr>
        <w:t>Au</w:t>
      </w:r>
      <w:r w:rsidR="005138B9" w:rsidRPr="009176B5">
        <w:rPr>
          <w:rFonts w:asciiTheme="majorHAnsi" w:hAnsiTheme="majorHAnsi" w:cstheme="majorHAnsi"/>
          <w:b/>
          <w:i/>
          <w:sz w:val="24"/>
          <w:szCs w:val="24"/>
        </w:rPr>
        <w:t>gustin Henry Shi Garden</w:t>
      </w:r>
    </w:p>
    <w:p w:rsidR="005138B9" w:rsidRPr="009176B5" w:rsidRDefault="005138B9" w:rsidP="005138B9">
      <w:pPr>
        <w:rPr>
          <w:rFonts w:asciiTheme="majorHAnsi" w:hAnsiTheme="majorHAnsi" w:cstheme="majorHAnsi"/>
          <w:sz w:val="24"/>
          <w:szCs w:val="24"/>
        </w:rPr>
      </w:pPr>
      <w:r w:rsidRPr="009176B5">
        <w:rPr>
          <w:rFonts w:asciiTheme="majorHAnsi" w:hAnsiTheme="majorHAnsi" w:cstheme="majorHAnsi"/>
          <w:sz w:val="24"/>
          <w:szCs w:val="24"/>
        </w:rPr>
        <w:t>Located behind the Biomedical Research Center, this peaceful garden consists of cottonwood</w:t>
      </w:r>
      <w:r w:rsidR="006B3B62" w:rsidRPr="009176B5">
        <w:rPr>
          <w:rFonts w:asciiTheme="majorHAnsi" w:hAnsiTheme="majorHAnsi" w:cstheme="majorHAnsi"/>
          <w:sz w:val="24"/>
          <w:szCs w:val="24"/>
        </w:rPr>
        <w:t xml:space="preserve"> trees, stone tables, and a mill</w:t>
      </w:r>
      <w:r w:rsidRPr="009176B5">
        <w:rPr>
          <w:rFonts w:asciiTheme="majorHAnsi" w:hAnsiTheme="majorHAnsi" w:cstheme="majorHAnsi"/>
          <w:sz w:val="24"/>
          <w:szCs w:val="24"/>
        </w:rPr>
        <w:t>stone fountain.</w:t>
      </w:r>
    </w:p>
    <w:p w:rsidR="005138B9" w:rsidRPr="009176B5" w:rsidRDefault="005138B9" w:rsidP="005138B9">
      <w:pPr>
        <w:rPr>
          <w:rFonts w:asciiTheme="majorHAnsi" w:hAnsiTheme="majorHAnsi" w:cstheme="majorHAnsi"/>
          <w:b/>
          <w:i/>
          <w:sz w:val="24"/>
          <w:szCs w:val="24"/>
        </w:rPr>
      </w:pPr>
      <w:r w:rsidRPr="009176B5">
        <w:rPr>
          <w:rFonts w:asciiTheme="majorHAnsi" w:hAnsiTheme="majorHAnsi" w:cstheme="majorHAnsi"/>
          <w:b/>
          <w:i/>
          <w:sz w:val="24"/>
          <w:szCs w:val="24"/>
        </w:rPr>
        <w:t>Stanton L. Young Walk</w:t>
      </w:r>
    </w:p>
    <w:p w:rsidR="005138B9" w:rsidRDefault="005138B9" w:rsidP="005138B9">
      <w:pPr>
        <w:rPr>
          <w:rFonts w:asciiTheme="majorHAnsi" w:hAnsiTheme="majorHAnsi" w:cstheme="majorHAnsi"/>
          <w:sz w:val="24"/>
          <w:szCs w:val="24"/>
        </w:rPr>
      </w:pPr>
      <w:r w:rsidRPr="009176B5">
        <w:rPr>
          <w:rFonts w:asciiTheme="majorHAnsi" w:hAnsiTheme="majorHAnsi" w:cstheme="majorHAnsi"/>
          <w:sz w:val="24"/>
          <w:szCs w:val="24"/>
        </w:rPr>
        <w:t>Stretching from the clock tower to the bronze seed sower, this garden walk is the heart of the OUHSC campus. Sprinkled with roses, hydrangeas, perennials, and annuals throughout, the gardens provide year-round color and a wonderful view for a walk.</w:t>
      </w:r>
    </w:p>
    <w:p w:rsidR="0018549B" w:rsidRDefault="0018549B" w:rsidP="0018549B">
      <w:pPr>
        <w:rPr>
          <w:rFonts w:asciiTheme="majorHAnsi" w:hAnsiTheme="majorHAnsi" w:cstheme="majorHAnsi"/>
          <w:b/>
          <w:i/>
          <w:sz w:val="24"/>
          <w:szCs w:val="24"/>
        </w:rPr>
      </w:pPr>
      <w:r>
        <w:rPr>
          <w:rFonts w:asciiTheme="majorHAnsi" w:hAnsiTheme="majorHAnsi" w:cstheme="majorHAnsi"/>
          <w:b/>
          <w:i/>
          <w:sz w:val="24"/>
          <w:szCs w:val="24"/>
        </w:rPr>
        <w:t xml:space="preserve">Presbyterian Health Foundation </w:t>
      </w:r>
      <w:r w:rsidRPr="0016082C">
        <w:rPr>
          <w:rFonts w:asciiTheme="majorHAnsi" w:hAnsiTheme="majorHAnsi" w:cstheme="majorHAnsi"/>
          <w:b/>
          <w:i/>
          <w:sz w:val="24"/>
          <w:szCs w:val="24"/>
        </w:rPr>
        <w:t>Seven Steps Fountain</w:t>
      </w:r>
    </w:p>
    <w:p w:rsidR="0018549B" w:rsidRPr="009176B5" w:rsidRDefault="0018549B" w:rsidP="005138B9">
      <w:pPr>
        <w:rPr>
          <w:rFonts w:asciiTheme="majorHAnsi" w:hAnsiTheme="majorHAnsi" w:cstheme="majorHAnsi"/>
          <w:sz w:val="24"/>
          <w:szCs w:val="24"/>
        </w:rPr>
      </w:pPr>
      <w:r>
        <w:rPr>
          <w:rFonts w:asciiTheme="majorHAnsi" w:hAnsiTheme="majorHAnsi" w:cstheme="majorHAnsi"/>
          <w:sz w:val="24"/>
          <w:szCs w:val="24"/>
        </w:rPr>
        <w:t xml:space="preserve">Honoring the seven academic colleges of the OU Health Sciences Center, the Fountain serves as the Stanton L. Young Way centerpiece offering outdoor seating and a campus view like no other. </w:t>
      </w:r>
    </w:p>
    <w:p w:rsidR="005138B9" w:rsidRPr="009176B5" w:rsidRDefault="005138B9" w:rsidP="005138B9">
      <w:pPr>
        <w:rPr>
          <w:rFonts w:asciiTheme="majorHAnsi" w:hAnsiTheme="majorHAnsi" w:cstheme="majorHAnsi"/>
          <w:b/>
          <w:i/>
          <w:sz w:val="24"/>
          <w:szCs w:val="24"/>
        </w:rPr>
      </w:pPr>
      <w:r w:rsidRPr="009176B5">
        <w:rPr>
          <w:rFonts w:asciiTheme="majorHAnsi" w:hAnsiTheme="majorHAnsi" w:cstheme="majorHAnsi"/>
          <w:b/>
          <w:i/>
          <w:sz w:val="24"/>
          <w:szCs w:val="24"/>
        </w:rPr>
        <w:t>Bluestem Stream</w:t>
      </w:r>
    </w:p>
    <w:p w:rsidR="005138B9" w:rsidRPr="009176B5" w:rsidRDefault="005138B9" w:rsidP="005138B9">
      <w:pPr>
        <w:rPr>
          <w:rFonts w:asciiTheme="majorHAnsi" w:hAnsiTheme="majorHAnsi" w:cstheme="majorHAnsi"/>
          <w:sz w:val="24"/>
          <w:szCs w:val="24"/>
        </w:rPr>
      </w:pPr>
      <w:r w:rsidRPr="009176B5">
        <w:rPr>
          <w:rFonts w:asciiTheme="majorHAnsi" w:hAnsiTheme="majorHAnsi" w:cstheme="majorHAnsi"/>
          <w:sz w:val="24"/>
          <w:szCs w:val="24"/>
        </w:rPr>
        <w:t>Nestled within the courtyard of the Biomedical Research Center, this native plant garden flows down a hillside reminiscent of a streambed and features Oklahoma indigenous species of grass, trees, shrubs, and wildflowers.</w:t>
      </w:r>
    </w:p>
    <w:p w:rsidR="005138B9" w:rsidRPr="009176B5" w:rsidRDefault="005138B9" w:rsidP="005138B9">
      <w:pPr>
        <w:rPr>
          <w:rFonts w:asciiTheme="majorHAnsi" w:hAnsiTheme="majorHAnsi" w:cstheme="majorHAnsi"/>
          <w:b/>
          <w:i/>
          <w:sz w:val="24"/>
          <w:szCs w:val="24"/>
        </w:rPr>
      </w:pPr>
      <w:r w:rsidRPr="009176B5">
        <w:rPr>
          <w:rFonts w:asciiTheme="majorHAnsi" w:hAnsiTheme="majorHAnsi" w:cstheme="majorHAnsi"/>
          <w:b/>
          <w:i/>
          <w:sz w:val="24"/>
          <w:szCs w:val="24"/>
        </w:rPr>
        <w:t>James G. Harlow, Jr. Great Lawn</w:t>
      </w:r>
    </w:p>
    <w:p w:rsidR="005138B9" w:rsidRPr="009176B5" w:rsidRDefault="005138B9" w:rsidP="005138B9">
      <w:pPr>
        <w:rPr>
          <w:rFonts w:asciiTheme="majorHAnsi" w:hAnsiTheme="majorHAnsi" w:cstheme="majorHAnsi"/>
          <w:sz w:val="24"/>
          <w:szCs w:val="24"/>
        </w:rPr>
      </w:pPr>
      <w:r w:rsidRPr="009176B5">
        <w:rPr>
          <w:rFonts w:asciiTheme="majorHAnsi" w:hAnsiTheme="majorHAnsi" w:cstheme="majorHAnsi"/>
          <w:sz w:val="24"/>
          <w:szCs w:val="24"/>
        </w:rPr>
        <w:t>North from the Seven Steps Fountain to a granite water wall, this area features a line of Babylonian weeping willows that provide a dramatic backdrop to the lawn.</w:t>
      </w:r>
      <w:r w:rsidR="0016082C">
        <w:rPr>
          <w:rFonts w:asciiTheme="majorHAnsi" w:hAnsiTheme="majorHAnsi" w:cstheme="majorHAnsi"/>
          <w:sz w:val="24"/>
          <w:szCs w:val="24"/>
        </w:rPr>
        <w:t xml:space="preserve"> </w:t>
      </w:r>
    </w:p>
    <w:p w:rsidR="0016082C" w:rsidRPr="009176B5" w:rsidRDefault="0016082C" w:rsidP="0016082C">
      <w:pPr>
        <w:rPr>
          <w:rFonts w:asciiTheme="majorHAnsi" w:hAnsiTheme="majorHAnsi" w:cstheme="majorHAnsi"/>
          <w:b/>
          <w:i/>
          <w:sz w:val="24"/>
          <w:szCs w:val="24"/>
        </w:rPr>
      </w:pPr>
      <w:r w:rsidRPr="009176B5">
        <w:rPr>
          <w:rFonts w:asciiTheme="majorHAnsi" w:hAnsiTheme="majorHAnsi" w:cstheme="majorHAnsi"/>
          <w:b/>
          <w:i/>
          <w:sz w:val="24"/>
          <w:szCs w:val="24"/>
        </w:rPr>
        <w:t>Molly Shi Boren Courtyard</w:t>
      </w:r>
    </w:p>
    <w:p w:rsidR="005138B9" w:rsidRPr="009176B5" w:rsidRDefault="0016082C" w:rsidP="005138B9">
      <w:pPr>
        <w:rPr>
          <w:rFonts w:asciiTheme="majorHAnsi" w:hAnsiTheme="majorHAnsi" w:cstheme="majorHAnsi"/>
          <w:sz w:val="24"/>
          <w:szCs w:val="24"/>
        </w:rPr>
      </w:pPr>
      <w:r w:rsidRPr="009176B5">
        <w:rPr>
          <w:rFonts w:asciiTheme="majorHAnsi" w:hAnsiTheme="majorHAnsi" w:cstheme="majorHAnsi"/>
          <w:sz w:val="24"/>
          <w:szCs w:val="24"/>
        </w:rPr>
        <w:t xml:space="preserve">On the lower level of the Bird Library, this shady sanctuary is an ideal spot to take a quiet break. The garden includes Japanese maples, hostas, and ferns, as well as hanging baskets. </w:t>
      </w:r>
    </w:p>
    <w:p w:rsidR="005138B9" w:rsidRPr="009176B5" w:rsidRDefault="005138B9" w:rsidP="005138B9">
      <w:pPr>
        <w:rPr>
          <w:rFonts w:asciiTheme="majorHAnsi" w:hAnsiTheme="majorHAnsi" w:cstheme="majorHAnsi"/>
          <w:b/>
          <w:i/>
          <w:sz w:val="24"/>
          <w:szCs w:val="24"/>
        </w:rPr>
      </w:pPr>
      <w:r w:rsidRPr="009176B5">
        <w:rPr>
          <w:rFonts w:asciiTheme="majorHAnsi" w:hAnsiTheme="majorHAnsi" w:cstheme="majorHAnsi"/>
          <w:b/>
          <w:i/>
          <w:sz w:val="24"/>
          <w:szCs w:val="24"/>
        </w:rPr>
        <w:t>Jimmy Everest Garden Walk</w:t>
      </w:r>
    </w:p>
    <w:p w:rsidR="005138B9" w:rsidRPr="009176B5" w:rsidRDefault="005138B9" w:rsidP="005138B9">
      <w:pPr>
        <w:rPr>
          <w:rFonts w:asciiTheme="majorHAnsi" w:hAnsiTheme="majorHAnsi" w:cstheme="majorHAnsi"/>
          <w:sz w:val="24"/>
          <w:szCs w:val="24"/>
        </w:rPr>
      </w:pPr>
      <w:r w:rsidRPr="009176B5">
        <w:rPr>
          <w:rFonts w:asciiTheme="majorHAnsi" w:hAnsiTheme="majorHAnsi" w:cstheme="majorHAnsi"/>
          <w:sz w:val="24"/>
          <w:szCs w:val="24"/>
        </w:rPr>
        <w:t xml:space="preserve">Near the entrance of the Jimmy Everest Children’s Center, this area includes plazas and sidewalks for a stroll. </w:t>
      </w:r>
    </w:p>
    <w:p w:rsidR="00A56115" w:rsidRPr="009176B5" w:rsidRDefault="00A56115" w:rsidP="005138B9">
      <w:pPr>
        <w:rPr>
          <w:rFonts w:asciiTheme="majorHAnsi" w:hAnsiTheme="majorHAnsi" w:cstheme="majorHAnsi"/>
          <w:b/>
          <w:i/>
          <w:sz w:val="24"/>
          <w:szCs w:val="24"/>
        </w:rPr>
      </w:pPr>
      <w:r w:rsidRPr="009176B5">
        <w:rPr>
          <w:rFonts w:asciiTheme="majorHAnsi" w:hAnsiTheme="majorHAnsi" w:cstheme="majorHAnsi"/>
          <w:b/>
          <w:i/>
          <w:sz w:val="24"/>
          <w:szCs w:val="24"/>
        </w:rPr>
        <w:t>Lloyd E. Rader Park</w:t>
      </w:r>
    </w:p>
    <w:p w:rsidR="00A56115" w:rsidRPr="009176B5" w:rsidRDefault="00A56115" w:rsidP="005138B9">
      <w:pPr>
        <w:rPr>
          <w:rFonts w:asciiTheme="majorHAnsi" w:hAnsiTheme="majorHAnsi" w:cstheme="majorHAnsi"/>
          <w:sz w:val="24"/>
          <w:szCs w:val="24"/>
        </w:rPr>
      </w:pPr>
      <w:r w:rsidRPr="009176B5">
        <w:rPr>
          <w:rFonts w:asciiTheme="majorHAnsi" w:hAnsiTheme="majorHAnsi" w:cstheme="majorHAnsi"/>
          <w:sz w:val="24"/>
          <w:szCs w:val="24"/>
        </w:rPr>
        <w:t>North of OU Physicians at the intersection of 10</w:t>
      </w:r>
      <w:r w:rsidRPr="009176B5">
        <w:rPr>
          <w:rFonts w:asciiTheme="majorHAnsi" w:hAnsiTheme="majorHAnsi" w:cstheme="majorHAnsi"/>
          <w:sz w:val="24"/>
          <w:szCs w:val="24"/>
          <w:vertAlign w:val="superscript"/>
        </w:rPr>
        <w:t>th</w:t>
      </w:r>
      <w:r w:rsidRPr="009176B5">
        <w:rPr>
          <w:rFonts w:asciiTheme="majorHAnsi" w:hAnsiTheme="majorHAnsi" w:cstheme="majorHAnsi"/>
          <w:sz w:val="24"/>
          <w:szCs w:val="24"/>
        </w:rPr>
        <w:t xml:space="preserve"> Street and Phillips sits a shady park full of trees in honor of Lloyd E. Rader, a skillful, former director of Oklahoma’s Department of Human Services.  </w:t>
      </w:r>
    </w:p>
    <w:p w:rsidR="00034FC3" w:rsidRPr="009176B5" w:rsidRDefault="00034FC3" w:rsidP="00034FC3">
      <w:pPr>
        <w:rPr>
          <w:rFonts w:asciiTheme="majorHAnsi" w:hAnsiTheme="majorHAnsi" w:cstheme="majorHAnsi"/>
          <w:i/>
          <w:sz w:val="24"/>
          <w:szCs w:val="24"/>
        </w:rPr>
      </w:pPr>
      <w:r w:rsidRPr="009176B5">
        <w:rPr>
          <w:rFonts w:asciiTheme="majorHAnsi" w:hAnsiTheme="majorHAnsi" w:cstheme="majorHAnsi"/>
          <w:b/>
          <w:i/>
          <w:sz w:val="24"/>
          <w:szCs w:val="24"/>
        </w:rPr>
        <w:t>The</w:t>
      </w:r>
      <w:r w:rsidRPr="009176B5">
        <w:rPr>
          <w:rFonts w:asciiTheme="majorHAnsi" w:hAnsiTheme="majorHAnsi" w:cstheme="majorHAnsi"/>
          <w:i/>
          <w:sz w:val="24"/>
          <w:szCs w:val="24"/>
        </w:rPr>
        <w:t xml:space="preserve"> </w:t>
      </w:r>
      <w:r w:rsidRPr="009176B5">
        <w:rPr>
          <w:rFonts w:asciiTheme="majorHAnsi" w:hAnsiTheme="majorHAnsi" w:cstheme="majorHAnsi"/>
          <w:b/>
          <w:bCs/>
          <w:i/>
          <w:sz w:val="24"/>
          <w:szCs w:val="24"/>
        </w:rPr>
        <w:t>Mothers Garden</w:t>
      </w:r>
      <w:r w:rsidRPr="009176B5">
        <w:rPr>
          <w:rFonts w:asciiTheme="majorHAnsi" w:hAnsiTheme="majorHAnsi" w:cstheme="majorHAnsi"/>
          <w:i/>
          <w:sz w:val="24"/>
          <w:szCs w:val="24"/>
        </w:rPr>
        <w:t xml:space="preserve"> </w:t>
      </w:r>
    </w:p>
    <w:p w:rsidR="00034FC3" w:rsidRPr="009176B5" w:rsidRDefault="00034FC3" w:rsidP="00034FC3">
      <w:pPr>
        <w:rPr>
          <w:rFonts w:asciiTheme="majorHAnsi" w:hAnsiTheme="majorHAnsi" w:cstheme="majorHAnsi"/>
          <w:sz w:val="24"/>
          <w:szCs w:val="24"/>
        </w:rPr>
      </w:pPr>
      <w:r w:rsidRPr="009176B5">
        <w:rPr>
          <w:rFonts w:asciiTheme="majorHAnsi" w:hAnsiTheme="majorHAnsi" w:cstheme="majorHAnsi"/>
          <w:sz w:val="24"/>
          <w:szCs w:val="24"/>
        </w:rPr>
        <w:t>Located o</w:t>
      </w:r>
      <w:r w:rsidR="009176B5" w:rsidRPr="009176B5">
        <w:rPr>
          <w:rFonts w:asciiTheme="majorHAnsi" w:hAnsiTheme="majorHAnsi" w:cstheme="majorHAnsi"/>
          <w:sz w:val="24"/>
          <w:szCs w:val="24"/>
        </w:rPr>
        <w:t xml:space="preserve">n the Stanton L. Young </w:t>
      </w:r>
      <w:r w:rsidR="00B33DF6">
        <w:rPr>
          <w:rFonts w:asciiTheme="majorHAnsi" w:hAnsiTheme="majorHAnsi" w:cstheme="majorHAnsi"/>
          <w:sz w:val="24"/>
          <w:szCs w:val="24"/>
        </w:rPr>
        <w:t>Walk</w:t>
      </w:r>
      <w:r w:rsidRPr="009176B5">
        <w:rPr>
          <w:rFonts w:asciiTheme="majorHAnsi" w:hAnsiTheme="majorHAnsi" w:cstheme="majorHAnsi"/>
          <w:sz w:val="24"/>
          <w:szCs w:val="24"/>
        </w:rPr>
        <w:t xml:space="preserve">, the pebble walkway welcomes </w:t>
      </w:r>
      <w:r w:rsidR="009176B5" w:rsidRPr="009176B5">
        <w:rPr>
          <w:rFonts w:asciiTheme="majorHAnsi" w:hAnsiTheme="majorHAnsi" w:cstheme="majorHAnsi"/>
          <w:sz w:val="24"/>
          <w:szCs w:val="24"/>
        </w:rPr>
        <w:t xml:space="preserve">visitors with benches and shrubbery, offering the comfort of a </w:t>
      </w:r>
      <w:r w:rsidRPr="009176B5">
        <w:rPr>
          <w:rFonts w:asciiTheme="majorHAnsi" w:hAnsiTheme="majorHAnsi" w:cstheme="majorHAnsi"/>
          <w:sz w:val="24"/>
          <w:szCs w:val="24"/>
        </w:rPr>
        <w:t>room</w:t>
      </w:r>
      <w:r w:rsidR="009176B5" w:rsidRPr="009176B5">
        <w:rPr>
          <w:rFonts w:asciiTheme="majorHAnsi" w:hAnsiTheme="majorHAnsi" w:cstheme="majorHAnsi"/>
          <w:sz w:val="24"/>
          <w:szCs w:val="24"/>
        </w:rPr>
        <w:t xml:space="preserve"> outdoors.</w:t>
      </w:r>
    </w:p>
    <w:p w:rsidR="009176B5" w:rsidRPr="009176B5" w:rsidRDefault="0018549B" w:rsidP="00034FC3">
      <w:pPr>
        <w:rPr>
          <w:rFonts w:asciiTheme="majorHAnsi" w:hAnsiTheme="majorHAnsi" w:cstheme="majorHAnsi"/>
          <w:sz w:val="24"/>
          <w:szCs w:val="24"/>
        </w:rPr>
      </w:pPr>
      <w:r w:rsidRPr="009176B5">
        <w:rPr>
          <w:rFonts w:asciiTheme="majorHAnsi" w:hAnsiTheme="majorHAnsi" w:cstheme="majorHAnsi"/>
          <w:b/>
          <w:i/>
          <w:sz w:val="24"/>
          <w:szCs w:val="24"/>
        </w:rPr>
        <w:t xml:space="preserve">OU Medical </w:t>
      </w:r>
      <w:r>
        <w:rPr>
          <w:rFonts w:asciiTheme="majorHAnsi" w:hAnsiTheme="majorHAnsi" w:cstheme="majorHAnsi"/>
          <w:b/>
          <w:i/>
          <w:sz w:val="24"/>
          <w:szCs w:val="24"/>
        </w:rPr>
        <w:t xml:space="preserve">Fountain </w:t>
      </w:r>
      <w:r w:rsidR="00034FC3" w:rsidRPr="009176B5">
        <w:rPr>
          <w:rFonts w:asciiTheme="majorHAnsi" w:hAnsiTheme="majorHAnsi" w:cstheme="majorHAnsi"/>
          <w:b/>
          <w:bCs/>
          <w:i/>
          <w:sz w:val="24"/>
          <w:szCs w:val="24"/>
        </w:rPr>
        <w:t>Courtyard</w:t>
      </w:r>
    </w:p>
    <w:p w:rsidR="0018549B" w:rsidRPr="00BC042B" w:rsidRDefault="00BC042B" w:rsidP="00034FC3">
      <w:pPr>
        <w:rPr>
          <w:rFonts w:asciiTheme="majorHAnsi" w:hAnsiTheme="majorHAnsi" w:cstheme="majorHAnsi"/>
          <w:sz w:val="24"/>
          <w:szCs w:val="24"/>
        </w:rPr>
      </w:pPr>
      <w:r w:rsidRPr="00BC042B">
        <w:rPr>
          <w:rFonts w:asciiTheme="majorHAnsi" w:hAnsiTheme="majorHAnsi" w:cstheme="majorHAnsi"/>
          <w:sz w:val="24"/>
          <w:szCs w:val="24"/>
        </w:rPr>
        <w:t>Situated between The Children’s Hospital and the Basic Sciences Education Building</w:t>
      </w:r>
      <w:r w:rsidR="009176B5" w:rsidRPr="00BC042B">
        <w:rPr>
          <w:rFonts w:asciiTheme="majorHAnsi" w:hAnsiTheme="majorHAnsi" w:cstheme="majorHAnsi"/>
          <w:sz w:val="24"/>
          <w:szCs w:val="24"/>
        </w:rPr>
        <w:t>, overlooking the Dream Catcher statue sits The Fountain Courtyard which was</w:t>
      </w:r>
      <w:r w:rsidR="00034FC3" w:rsidRPr="00BC042B">
        <w:rPr>
          <w:rFonts w:asciiTheme="majorHAnsi" w:hAnsiTheme="majorHAnsi" w:cstheme="majorHAnsi"/>
          <w:sz w:val="24"/>
          <w:szCs w:val="24"/>
        </w:rPr>
        <w:t xml:space="preserve"> dedicated</w:t>
      </w:r>
      <w:r w:rsidR="009176B5" w:rsidRPr="00BC042B">
        <w:rPr>
          <w:rFonts w:asciiTheme="majorHAnsi" w:hAnsiTheme="majorHAnsi" w:cstheme="majorHAnsi"/>
          <w:sz w:val="24"/>
          <w:szCs w:val="24"/>
        </w:rPr>
        <w:t xml:space="preserve"> to patients and their fa</w:t>
      </w:r>
      <w:r w:rsidRPr="00BC042B">
        <w:rPr>
          <w:rFonts w:asciiTheme="majorHAnsi" w:hAnsiTheme="majorHAnsi" w:cstheme="majorHAnsi"/>
          <w:sz w:val="24"/>
          <w:szCs w:val="24"/>
        </w:rPr>
        <w:t xml:space="preserve">milies by the OU Medical Center. Enjoy </w:t>
      </w:r>
      <w:r w:rsidR="0018549B" w:rsidRPr="00BC042B">
        <w:rPr>
          <w:rFonts w:asciiTheme="majorHAnsi" w:hAnsiTheme="majorHAnsi" w:cstheme="majorHAnsi"/>
          <w:sz w:val="24"/>
          <w:szCs w:val="24"/>
        </w:rPr>
        <w:t>two fountains and a modern trellis covered with evergreen</w:t>
      </w:r>
    </w:p>
    <w:p w:rsidR="0016082C" w:rsidRPr="0016082C" w:rsidRDefault="0016082C" w:rsidP="0016082C">
      <w:pPr>
        <w:rPr>
          <w:rFonts w:asciiTheme="majorHAnsi" w:hAnsiTheme="majorHAnsi" w:cstheme="majorHAnsi"/>
          <w:b/>
          <w:i/>
          <w:sz w:val="24"/>
          <w:szCs w:val="24"/>
        </w:rPr>
      </w:pPr>
      <w:r w:rsidRPr="0016082C">
        <w:rPr>
          <w:rFonts w:asciiTheme="majorHAnsi" w:hAnsiTheme="majorHAnsi" w:cstheme="majorHAnsi"/>
          <w:b/>
          <w:i/>
          <w:sz w:val="24"/>
          <w:szCs w:val="24"/>
        </w:rPr>
        <w:t>Children’s Fountain Granite Water Wall</w:t>
      </w:r>
    </w:p>
    <w:p w:rsidR="000952A4" w:rsidRPr="009176B5" w:rsidRDefault="000952A4" w:rsidP="000952A4">
      <w:pPr>
        <w:rPr>
          <w:rFonts w:asciiTheme="majorHAnsi" w:hAnsiTheme="majorHAnsi" w:cstheme="majorHAnsi"/>
          <w:sz w:val="24"/>
          <w:szCs w:val="24"/>
          <w:highlight w:val="yellow"/>
        </w:rPr>
      </w:pPr>
      <w:r>
        <w:rPr>
          <w:rFonts w:asciiTheme="majorHAnsi" w:hAnsiTheme="majorHAnsi" w:cstheme="majorHAnsi"/>
          <w:sz w:val="24"/>
          <w:szCs w:val="24"/>
        </w:rPr>
        <w:t>Nestled between the College of Dentistry and the Basic Science Education Building sits a granite Water Wall, honoring the Oklahoma Health Center Foundation.</w:t>
      </w:r>
      <w:r w:rsidRPr="009176B5">
        <w:rPr>
          <w:rFonts w:asciiTheme="majorHAnsi" w:hAnsiTheme="majorHAnsi" w:cstheme="majorHAnsi"/>
          <w:sz w:val="24"/>
          <w:szCs w:val="24"/>
          <w:highlight w:val="yellow"/>
        </w:rPr>
        <w:t xml:space="preserve"> </w:t>
      </w:r>
    </w:p>
    <w:p w:rsidR="00034FC3" w:rsidRPr="009176B5" w:rsidRDefault="00034FC3" w:rsidP="00034FC3">
      <w:pPr>
        <w:rPr>
          <w:rFonts w:asciiTheme="majorHAnsi" w:hAnsiTheme="majorHAnsi" w:cstheme="majorHAnsi"/>
          <w:b/>
          <w:i/>
          <w:sz w:val="24"/>
          <w:szCs w:val="24"/>
        </w:rPr>
      </w:pPr>
      <w:r w:rsidRPr="009176B5">
        <w:rPr>
          <w:rFonts w:asciiTheme="majorHAnsi" w:hAnsiTheme="majorHAnsi" w:cstheme="majorHAnsi"/>
          <w:b/>
          <w:i/>
          <w:sz w:val="24"/>
          <w:szCs w:val="24"/>
        </w:rPr>
        <w:t>1950 Rock</w:t>
      </w:r>
    </w:p>
    <w:p w:rsidR="00034FC3" w:rsidRDefault="009176B5" w:rsidP="00034FC3">
      <w:pPr>
        <w:rPr>
          <w:rFonts w:asciiTheme="majorHAnsi" w:hAnsiTheme="majorHAnsi" w:cstheme="majorHAnsi"/>
          <w:sz w:val="24"/>
          <w:szCs w:val="24"/>
        </w:rPr>
      </w:pPr>
      <w:r w:rsidRPr="009176B5">
        <w:rPr>
          <w:rFonts w:asciiTheme="majorHAnsi" w:hAnsiTheme="majorHAnsi" w:cstheme="majorHAnsi"/>
          <w:sz w:val="24"/>
          <w:szCs w:val="24"/>
        </w:rPr>
        <w:t>Just behind the Water Wall, mentioned above, sits a gift from the class of 1950, a stone bench. The bench honors the various roles the students played in World War II.</w:t>
      </w:r>
    </w:p>
    <w:p w:rsidR="000952A4" w:rsidRDefault="0016082C" w:rsidP="00034FC3">
      <w:pPr>
        <w:rPr>
          <w:rFonts w:asciiTheme="majorHAnsi" w:hAnsiTheme="majorHAnsi" w:cstheme="majorHAnsi"/>
          <w:b/>
          <w:bCs/>
          <w:i/>
          <w:sz w:val="24"/>
          <w:szCs w:val="24"/>
        </w:rPr>
      </w:pPr>
      <w:r>
        <w:rPr>
          <w:rFonts w:asciiTheme="majorHAnsi" w:hAnsiTheme="majorHAnsi" w:cstheme="majorHAnsi"/>
          <w:b/>
          <w:bCs/>
          <w:i/>
          <w:sz w:val="24"/>
          <w:szCs w:val="24"/>
        </w:rPr>
        <w:t xml:space="preserve">College of Dentistry </w:t>
      </w:r>
      <w:r w:rsidR="0018549B">
        <w:rPr>
          <w:rFonts w:asciiTheme="majorHAnsi" w:hAnsiTheme="majorHAnsi" w:cstheme="majorHAnsi"/>
          <w:b/>
          <w:bCs/>
          <w:i/>
          <w:sz w:val="24"/>
          <w:szCs w:val="24"/>
        </w:rPr>
        <w:t xml:space="preserve">Atrium </w:t>
      </w:r>
      <w:r>
        <w:rPr>
          <w:rFonts w:asciiTheme="majorHAnsi" w:hAnsiTheme="majorHAnsi" w:cstheme="majorHAnsi"/>
          <w:b/>
          <w:bCs/>
          <w:i/>
          <w:sz w:val="24"/>
          <w:szCs w:val="24"/>
        </w:rPr>
        <w:t>Garden</w:t>
      </w:r>
    </w:p>
    <w:p w:rsidR="0018549B" w:rsidRPr="0018549B" w:rsidRDefault="0018549B" w:rsidP="00034FC3">
      <w:pPr>
        <w:rPr>
          <w:rFonts w:asciiTheme="majorHAnsi" w:hAnsiTheme="majorHAnsi" w:cstheme="majorHAnsi"/>
          <w:sz w:val="24"/>
          <w:szCs w:val="24"/>
        </w:rPr>
      </w:pPr>
      <w:r w:rsidRPr="0018549B">
        <w:rPr>
          <w:rFonts w:asciiTheme="majorHAnsi" w:hAnsiTheme="majorHAnsi" w:cstheme="majorHAnsi"/>
          <w:bCs/>
          <w:sz w:val="24"/>
          <w:szCs w:val="24"/>
        </w:rPr>
        <w:t>Nestled under the College of Dentistry’s first floor, visitors enjoy outdoor seating, beautiful flowering bushes,</w:t>
      </w:r>
      <w:r w:rsidR="00BC042B">
        <w:rPr>
          <w:rFonts w:asciiTheme="majorHAnsi" w:hAnsiTheme="majorHAnsi" w:cstheme="majorHAnsi"/>
          <w:bCs/>
          <w:sz w:val="24"/>
          <w:szCs w:val="24"/>
        </w:rPr>
        <w:t xml:space="preserve"> and a canopy of coverage. </w:t>
      </w:r>
    </w:p>
    <w:p w:rsidR="0018549B" w:rsidRDefault="0018549B" w:rsidP="005138B9">
      <w:pPr>
        <w:rPr>
          <w:rFonts w:asciiTheme="majorHAnsi" w:hAnsiTheme="majorHAnsi" w:cstheme="majorHAnsi"/>
          <w:b/>
          <w:i/>
          <w:sz w:val="24"/>
          <w:szCs w:val="24"/>
        </w:rPr>
      </w:pPr>
      <w:r>
        <w:rPr>
          <w:rFonts w:asciiTheme="majorHAnsi" w:hAnsiTheme="majorHAnsi" w:cstheme="majorHAnsi"/>
          <w:b/>
          <w:i/>
          <w:sz w:val="24"/>
          <w:szCs w:val="24"/>
        </w:rPr>
        <w:t>The G. Raney Williams Pavilion</w:t>
      </w:r>
      <w:r w:rsidR="00573BC9">
        <w:rPr>
          <w:rFonts w:asciiTheme="majorHAnsi" w:hAnsiTheme="majorHAnsi" w:cstheme="majorHAnsi"/>
          <w:b/>
          <w:i/>
          <w:sz w:val="24"/>
          <w:szCs w:val="24"/>
        </w:rPr>
        <w:t xml:space="preserve"> Lawn</w:t>
      </w:r>
    </w:p>
    <w:p w:rsidR="00034FC3" w:rsidRDefault="00573BC9" w:rsidP="005138B9">
      <w:pPr>
        <w:rPr>
          <w:rFonts w:asciiTheme="majorHAnsi" w:hAnsiTheme="majorHAnsi" w:cstheme="majorHAnsi"/>
          <w:color w:val="121212"/>
          <w:sz w:val="24"/>
          <w:szCs w:val="24"/>
          <w:shd w:val="clear" w:color="auto" w:fill="FFFFFF"/>
        </w:rPr>
      </w:pPr>
      <w:r>
        <w:rPr>
          <w:rFonts w:asciiTheme="majorHAnsi" w:hAnsiTheme="majorHAnsi" w:cstheme="majorHAnsi"/>
          <w:color w:val="121212"/>
          <w:sz w:val="24"/>
          <w:szCs w:val="24"/>
          <w:shd w:val="clear" w:color="auto" w:fill="FFFFFF"/>
        </w:rPr>
        <w:t xml:space="preserve">Located north of The G. Rainey Williams Pavilion, this lawn offers lush, grass seating to absorb the Oklahoma skies. </w:t>
      </w:r>
      <w:r w:rsidR="00BC042B">
        <w:rPr>
          <w:rFonts w:asciiTheme="majorHAnsi" w:hAnsiTheme="majorHAnsi" w:cstheme="majorHAnsi"/>
          <w:color w:val="121212"/>
          <w:sz w:val="24"/>
          <w:szCs w:val="24"/>
          <w:shd w:val="clear" w:color="auto" w:fill="FFFFFF"/>
        </w:rPr>
        <w:t xml:space="preserve">Don’t forget your sunscreen. </w:t>
      </w:r>
    </w:p>
    <w:p w:rsidR="00573BC9" w:rsidRPr="00573BC9" w:rsidRDefault="00573BC9" w:rsidP="005138B9">
      <w:pPr>
        <w:rPr>
          <w:rFonts w:asciiTheme="majorHAnsi" w:hAnsiTheme="majorHAnsi" w:cstheme="majorHAnsi"/>
          <w:b/>
          <w:i/>
          <w:sz w:val="24"/>
          <w:szCs w:val="24"/>
        </w:rPr>
      </w:pPr>
      <w:r w:rsidRPr="00573BC9">
        <w:rPr>
          <w:rFonts w:asciiTheme="majorHAnsi" w:hAnsiTheme="majorHAnsi" w:cstheme="majorHAnsi"/>
          <w:b/>
          <w:i/>
          <w:color w:val="121212"/>
          <w:sz w:val="24"/>
          <w:szCs w:val="24"/>
          <w:shd w:val="clear" w:color="auto" w:fill="FFFFFF"/>
        </w:rPr>
        <w:t>Un</w:t>
      </w:r>
      <w:r w:rsidR="00044319">
        <w:rPr>
          <w:rFonts w:asciiTheme="majorHAnsi" w:hAnsiTheme="majorHAnsi" w:cstheme="majorHAnsi"/>
          <w:b/>
          <w:i/>
          <w:color w:val="121212"/>
          <w:sz w:val="24"/>
          <w:szCs w:val="24"/>
          <w:shd w:val="clear" w:color="auto" w:fill="FFFFFF"/>
        </w:rPr>
        <w:t>iversity Research Park Outdoor Options</w:t>
      </w:r>
      <w:r w:rsidRPr="00573BC9">
        <w:rPr>
          <w:rFonts w:asciiTheme="majorHAnsi" w:hAnsiTheme="majorHAnsi" w:cstheme="majorHAnsi"/>
          <w:b/>
          <w:i/>
          <w:color w:val="121212"/>
          <w:sz w:val="24"/>
          <w:szCs w:val="24"/>
          <w:shd w:val="clear" w:color="auto" w:fill="FFFFFF"/>
        </w:rPr>
        <w:t xml:space="preserve"> </w:t>
      </w:r>
    </w:p>
    <w:p w:rsidR="0018549B" w:rsidRPr="00044319" w:rsidRDefault="00044319" w:rsidP="005138B9">
      <w:pPr>
        <w:rPr>
          <w:rFonts w:asciiTheme="majorHAnsi" w:hAnsiTheme="majorHAnsi" w:cstheme="majorHAnsi"/>
          <w:sz w:val="24"/>
          <w:szCs w:val="24"/>
        </w:rPr>
      </w:pPr>
      <w:r>
        <w:rPr>
          <w:rFonts w:asciiTheme="majorHAnsi" w:hAnsiTheme="majorHAnsi" w:cstheme="majorHAnsi"/>
          <w:sz w:val="24"/>
          <w:szCs w:val="24"/>
        </w:rPr>
        <w:t>Take a stroll around the Research Park on wide, shade-covered sidewalks, or relax in one of the two seating areas north of URP 865 or south of URP 655.</w:t>
      </w:r>
    </w:p>
    <w:sectPr w:rsidR="0018549B" w:rsidRPr="00044319" w:rsidSect="005138B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B9"/>
    <w:rsid w:val="00006DC7"/>
    <w:rsid w:val="00034FC3"/>
    <w:rsid w:val="00044319"/>
    <w:rsid w:val="000952A4"/>
    <w:rsid w:val="0016082C"/>
    <w:rsid w:val="0018549B"/>
    <w:rsid w:val="00215AAC"/>
    <w:rsid w:val="005138B9"/>
    <w:rsid w:val="00573BC9"/>
    <w:rsid w:val="006B3B62"/>
    <w:rsid w:val="009176B5"/>
    <w:rsid w:val="00A56115"/>
    <w:rsid w:val="00B33DF6"/>
    <w:rsid w:val="00BC042B"/>
    <w:rsid w:val="00DA1038"/>
    <w:rsid w:val="00E1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021B"/>
  <w15:chartTrackingRefBased/>
  <w15:docId w15:val="{77B44174-74EF-43A2-9809-2BD49966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darci-choi@ouhsc.edu</dc:creator>
  <cp:keywords/>
  <dc:description/>
  <cp:lastModifiedBy>Stanton, Kathleen B. (HSC)</cp:lastModifiedBy>
  <cp:revision>3</cp:revision>
  <cp:lastPrinted>2020-04-09T20:28:00Z</cp:lastPrinted>
  <dcterms:created xsi:type="dcterms:W3CDTF">2020-04-09T22:24:00Z</dcterms:created>
  <dcterms:modified xsi:type="dcterms:W3CDTF">2020-04-09T22:27:00Z</dcterms:modified>
</cp:coreProperties>
</file>