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69" w:rsidRDefault="00054C69" w:rsidP="00637997">
      <w:pPr>
        <w:jc w:val="center"/>
        <w:rPr>
          <w:b/>
          <w:sz w:val="24"/>
          <w:szCs w:val="24"/>
        </w:rPr>
      </w:pPr>
      <w:bookmarkStart w:id="0" w:name="_GoBack"/>
      <w:bookmarkEnd w:id="0"/>
      <w:r>
        <w:rPr>
          <w:b/>
          <w:sz w:val="24"/>
          <w:szCs w:val="24"/>
        </w:rPr>
        <w:t>University of Oklahoma Health Sciences Center</w:t>
      </w:r>
    </w:p>
    <w:p w:rsidR="00D81ADD" w:rsidRDefault="00054C69" w:rsidP="002B6768">
      <w:pPr>
        <w:jc w:val="center"/>
        <w:rPr>
          <w:b/>
          <w:sz w:val="24"/>
          <w:szCs w:val="24"/>
        </w:rPr>
      </w:pPr>
      <w:r>
        <w:rPr>
          <w:b/>
          <w:sz w:val="24"/>
          <w:szCs w:val="24"/>
        </w:rPr>
        <w:t>COVID</w:t>
      </w:r>
      <w:r w:rsidR="00BF29FC">
        <w:rPr>
          <w:b/>
          <w:sz w:val="24"/>
          <w:szCs w:val="24"/>
        </w:rPr>
        <w:t>-</w:t>
      </w:r>
      <w:r>
        <w:rPr>
          <w:b/>
          <w:sz w:val="24"/>
          <w:szCs w:val="24"/>
        </w:rPr>
        <w:t xml:space="preserve">19 </w:t>
      </w:r>
      <w:r w:rsidR="00385078" w:rsidRPr="00637997">
        <w:rPr>
          <w:b/>
          <w:sz w:val="24"/>
          <w:szCs w:val="24"/>
        </w:rPr>
        <w:t>Return</w:t>
      </w:r>
      <w:r w:rsidR="00132E16" w:rsidRPr="00637997">
        <w:rPr>
          <w:b/>
          <w:sz w:val="24"/>
          <w:szCs w:val="24"/>
        </w:rPr>
        <w:t xml:space="preserve"> Plan</w:t>
      </w:r>
      <w:r w:rsidR="009E7355">
        <w:rPr>
          <w:b/>
          <w:sz w:val="24"/>
          <w:szCs w:val="24"/>
        </w:rPr>
        <w:t xml:space="preserve"> – Adopted May 1</w:t>
      </w:r>
      <w:r w:rsidR="006D4DB9">
        <w:rPr>
          <w:b/>
          <w:sz w:val="24"/>
          <w:szCs w:val="24"/>
        </w:rPr>
        <w:t>, 2020</w:t>
      </w:r>
    </w:p>
    <w:p w:rsidR="009E7355" w:rsidRPr="00637997" w:rsidRDefault="009E7355" w:rsidP="002B6768">
      <w:pPr>
        <w:jc w:val="center"/>
        <w:rPr>
          <w:b/>
          <w:sz w:val="24"/>
          <w:szCs w:val="24"/>
        </w:rPr>
      </w:pPr>
      <w:r>
        <w:rPr>
          <w:b/>
          <w:sz w:val="24"/>
          <w:szCs w:val="24"/>
        </w:rPr>
        <w:t xml:space="preserve">Last Updated </w:t>
      </w:r>
      <w:r w:rsidR="00344FDD">
        <w:rPr>
          <w:b/>
          <w:sz w:val="24"/>
          <w:szCs w:val="24"/>
        </w:rPr>
        <w:t>July 2</w:t>
      </w:r>
      <w:r w:rsidR="0000603D">
        <w:rPr>
          <w:b/>
          <w:sz w:val="24"/>
          <w:szCs w:val="24"/>
        </w:rPr>
        <w:t>,</w:t>
      </w:r>
      <w:r>
        <w:rPr>
          <w:b/>
          <w:sz w:val="24"/>
          <w:szCs w:val="24"/>
        </w:rPr>
        <w:t xml:space="preserve"> 2020 </w:t>
      </w:r>
    </w:p>
    <w:p w:rsidR="00864DAE" w:rsidRDefault="00E640AF" w:rsidP="00487927">
      <w:r>
        <w:t>The return to full, normal operations in all areas of the University of Oklahoma Health Sciences Center campus will be a gradual, phased process</w:t>
      </w:r>
      <w:r w:rsidR="002D6C08">
        <w:t xml:space="preserve">. </w:t>
      </w:r>
      <w:r w:rsidR="002D6C08" w:rsidRPr="003349C3">
        <w:t>E</w:t>
      </w:r>
      <w:r w:rsidR="009E7355" w:rsidRPr="003349C3">
        <w:t>ffective May 1, 2020</w:t>
      </w:r>
      <w:r w:rsidR="009E7355">
        <w:t xml:space="preserve">, </w:t>
      </w:r>
      <w:r w:rsidR="009E7355" w:rsidRPr="0000603D">
        <w:rPr>
          <w:color w:val="FF0000"/>
        </w:rPr>
        <w:t>e</w:t>
      </w:r>
      <w:r w:rsidR="002D6C08" w:rsidRPr="0000603D">
        <w:rPr>
          <w:color w:val="FF0000"/>
        </w:rPr>
        <w:t>ach</w:t>
      </w:r>
      <w:r w:rsidR="00A137E2" w:rsidRPr="0000603D">
        <w:rPr>
          <w:color w:val="FF0000"/>
        </w:rPr>
        <w:t xml:space="preserve"> dean and vice president</w:t>
      </w:r>
      <w:r w:rsidR="002D6C08" w:rsidRPr="0000603D">
        <w:rPr>
          <w:color w:val="FF0000"/>
        </w:rPr>
        <w:t xml:space="preserve"> is responsible for </w:t>
      </w:r>
      <w:r w:rsidR="00BC4D30" w:rsidRPr="0000603D">
        <w:rPr>
          <w:color w:val="FF0000"/>
        </w:rPr>
        <w:t xml:space="preserve">reviewing and distributing this Plan </w:t>
      </w:r>
      <w:r w:rsidR="00213559">
        <w:rPr>
          <w:color w:val="FF0000"/>
        </w:rPr>
        <w:t xml:space="preserve">in their areas </w:t>
      </w:r>
      <w:r w:rsidR="00BC4D30" w:rsidRPr="0000603D">
        <w:rPr>
          <w:color w:val="FF0000"/>
        </w:rPr>
        <w:t xml:space="preserve">and for </w:t>
      </w:r>
      <w:r w:rsidR="002D6C08" w:rsidRPr="0000603D">
        <w:rPr>
          <w:color w:val="FF0000"/>
        </w:rPr>
        <w:t xml:space="preserve">the </w:t>
      </w:r>
      <w:r w:rsidR="00241FBB" w:rsidRPr="0000603D">
        <w:rPr>
          <w:color w:val="FF0000"/>
        </w:rPr>
        <w:t xml:space="preserve">specifics of the </w:t>
      </w:r>
      <w:r w:rsidR="002D6C08" w:rsidRPr="0000603D">
        <w:rPr>
          <w:color w:val="FF0000"/>
        </w:rPr>
        <w:t>return process</w:t>
      </w:r>
      <w:r w:rsidR="00BC4D30" w:rsidRPr="0000603D">
        <w:rPr>
          <w:color w:val="FF0000"/>
        </w:rPr>
        <w:t xml:space="preserve"> to be implemented</w:t>
      </w:r>
      <w:r w:rsidR="002D6C08" w:rsidRPr="0000603D">
        <w:rPr>
          <w:color w:val="FF0000"/>
        </w:rPr>
        <w:t xml:space="preserve"> for their areas</w:t>
      </w:r>
      <w:r w:rsidR="00A76BFE">
        <w:t>; t</w:t>
      </w:r>
      <w:r w:rsidR="00284B7E">
        <w:t xml:space="preserve">he phases </w:t>
      </w:r>
      <w:r w:rsidR="00724CBE">
        <w:t xml:space="preserve">and timing </w:t>
      </w:r>
      <w:r w:rsidR="002D6C08">
        <w:t xml:space="preserve">for return </w:t>
      </w:r>
      <w:r w:rsidR="00284B7E">
        <w:t xml:space="preserve">must comply with the Oklahoma </w:t>
      </w:r>
      <w:r w:rsidR="00284B7E" w:rsidRPr="00284B7E">
        <w:rPr>
          <w:i/>
        </w:rPr>
        <w:t>Open Up and Recover Safely Three-Phase Approach to Open Oklahoma’s Economy</w:t>
      </w:r>
      <w:r w:rsidR="00284B7E">
        <w:t>, as applicable, and</w:t>
      </w:r>
      <w:r w:rsidR="004D2FDD">
        <w:t xml:space="preserve"> </w:t>
      </w:r>
      <w:r w:rsidR="00FF6E92">
        <w:t>the requirements in</w:t>
      </w:r>
      <w:r w:rsidR="004D2FDD">
        <w:t xml:space="preserve"> this</w:t>
      </w:r>
      <w:r w:rsidR="00864DAE">
        <w:t xml:space="preserve"> </w:t>
      </w:r>
      <w:r w:rsidR="009B31BF">
        <w:t xml:space="preserve">COVID-19 </w:t>
      </w:r>
      <w:r w:rsidR="00385078">
        <w:t>Return</w:t>
      </w:r>
      <w:r w:rsidR="00864DAE">
        <w:t xml:space="preserve"> Plan.  </w:t>
      </w:r>
    </w:p>
    <w:p w:rsidR="002440C6" w:rsidRDefault="00864DAE" w:rsidP="00637997">
      <w:r>
        <w:t xml:space="preserve">As the nature of COVID-19 remains dynamic, the Specific Pathogens Preparedness Operations Team (SPPOT) and the </w:t>
      </w:r>
      <w:r w:rsidR="009B31BF">
        <w:t xml:space="preserve">OUHSC </w:t>
      </w:r>
      <w:r>
        <w:t>Emergency Operations Committee (EO</w:t>
      </w:r>
      <w:r w:rsidR="00284B7E">
        <w:t>C) will regularly evaluate th</w:t>
      </w:r>
      <w:r w:rsidR="003C47B5">
        <w:t>e</w:t>
      </w:r>
      <w:r w:rsidR="00284B7E">
        <w:t xml:space="preserve"> </w:t>
      </w:r>
      <w:r w:rsidR="00DA55B3">
        <w:t xml:space="preserve">COVID-19 Return </w:t>
      </w:r>
      <w:r>
        <w:t xml:space="preserve">Plan and implement new </w:t>
      </w:r>
      <w:r w:rsidR="00FF6E92">
        <w:t xml:space="preserve">or revised </w:t>
      </w:r>
      <w:r>
        <w:t xml:space="preserve">requirements </w:t>
      </w:r>
      <w:r w:rsidR="002D6C08">
        <w:t xml:space="preserve">for return </w:t>
      </w:r>
      <w:r>
        <w:t>when indicated.</w:t>
      </w:r>
      <w:r w:rsidR="00CB01F2">
        <w:rPr>
          <w:rStyle w:val="FootnoteReference"/>
        </w:rPr>
        <w:footnoteReference w:id="1"/>
      </w:r>
      <w:r w:rsidR="00CB01F2">
        <w:t xml:space="preserve"> </w:t>
      </w:r>
      <w:r w:rsidR="008E2F71">
        <w:t xml:space="preserve"> Revised versions of this Plan will be distributed to appropriate campus groups and posted on the HSC COVID-19 Updates and Resources page: </w:t>
      </w:r>
      <w:hyperlink r:id="rId8" w:history="1">
        <w:r w:rsidR="008E2F71" w:rsidRPr="008E2F71">
          <w:rPr>
            <w:rStyle w:val="Hyperlink"/>
            <w:b/>
          </w:rPr>
          <w:t>https://www.ouhsc.edu/coronavirus</w:t>
        </w:r>
      </w:hyperlink>
      <w:r w:rsidR="008E2F71">
        <w:t>, also accessible from the OUHSC home page.</w:t>
      </w:r>
      <w:r w:rsidR="00196F82">
        <w:t xml:space="preserve"> </w:t>
      </w:r>
      <w:r w:rsidR="002440C6">
        <w:t xml:space="preserve">This Plan applies to all </w:t>
      </w:r>
      <w:r w:rsidR="00956AB2">
        <w:t xml:space="preserve">OUHSC </w:t>
      </w:r>
      <w:r w:rsidR="002440C6">
        <w:t>employees and students,</w:t>
      </w:r>
      <w:r w:rsidR="00F10157">
        <w:rPr>
          <w:rStyle w:val="FootnoteReference"/>
        </w:rPr>
        <w:footnoteReference w:id="2"/>
      </w:r>
      <w:r w:rsidR="002440C6">
        <w:t xml:space="preserve"> which includes residents and trainees and, for purposes of this Plan, volunteers.</w:t>
      </w:r>
      <w:r w:rsidR="004B041D">
        <w:t xml:space="preserve">  It includes the following sections:</w:t>
      </w:r>
    </w:p>
    <w:p w:rsidR="004B041D" w:rsidRDefault="004B041D" w:rsidP="004B041D">
      <w:pPr>
        <w:spacing w:after="0"/>
      </w:pPr>
      <w:r>
        <w:t>I.</w:t>
      </w:r>
      <w:r w:rsidR="00216E7B">
        <w:tab/>
      </w:r>
      <w:r>
        <w:t>Telecommuting</w:t>
      </w:r>
    </w:p>
    <w:p w:rsidR="004B041D" w:rsidRDefault="004B041D" w:rsidP="004B041D">
      <w:pPr>
        <w:spacing w:after="0"/>
      </w:pPr>
      <w:r>
        <w:t xml:space="preserve">II. </w:t>
      </w:r>
      <w:r w:rsidR="00216E7B">
        <w:tab/>
      </w:r>
      <w:r>
        <w:t>Reopening Common Areas, Resuming Services, &amp; Returning Employees to Campus</w:t>
      </w:r>
    </w:p>
    <w:p w:rsidR="004B041D" w:rsidRDefault="004B041D" w:rsidP="004B041D">
      <w:pPr>
        <w:spacing w:after="0"/>
      </w:pPr>
      <w:r>
        <w:t xml:space="preserve">III.  </w:t>
      </w:r>
      <w:r w:rsidR="00216E7B">
        <w:tab/>
      </w:r>
      <w:r>
        <w:t>Social Distancing</w:t>
      </w:r>
    </w:p>
    <w:p w:rsidR="004B041D" w:rsidRDefault="004B041D" w:rsidP="004B041D">
      <w:pPr>
        <w:spacing w:after="0"/>
      </w:pPr>
      <w:r>
        <w:t>IV.</w:t>
      </w:r>
      <w:r w:rsidR="00216E7B">
        <w:tab/>
      </w:r>
      <w:r>
        <w:t>Masks</w:t>
      </w:r>
    </w:p>
    <w:p w:rsidR="004B041D" w:rsidRDefault="004B041D" w:rsidP="004B041D">
      <w:pPr>
        <w:spacing w:after="0"/>
      </w:pPr>
      <w:r>
        <w:t xml:space="preserve">V.  </w:t>
      </w:r>
      <w:r w:rsidR="00216E7B">
        <w:tab/>
      </w:r>
      <w:r>
        <w:t>Building Access and Amenities</w:t>
      </w:r>
    </w:p>
    <w:p w:rsidR="004B041D" w:rsidRDefault="004B041D" w:rsidP="004B041D">
      <w:pPr>
        <w:spacing w:after="0"/>
      </w:pPr>
      <w:r>
        <w:t xml:space="preserve">VI. </w:t>
      </w:r>
      <w:r w:rsidR="00216E7B">
        <w:tab/>
      </w:r>
      <w:r>
        <w:t>Sanitizing Facilities and Equipment</w:t>
      </w:r>
    </w:p>
    <w:p w:rsidR="004B041D" w:rsidRDefault="004B041D" w:rsidP="004B041D">
      <w:pPr>
        <w:spacing w:after="0"/>
      </w:pPr>
      <w:r>
        <w:t xml:space="preserve">VII.  </w:t>
      </w:r>
      <w:r w:rsidR="00216E7B">
        <w:tab/>
      </w:r>
      <w:r>
        <w:t>Testing, Isolation, and Contact Tracing</w:t>
      </w:r>
    </w:p>
    <w:p w:rsidR="004B041D" w:rsidRDefault="004B041D" w:rsidP="004B041D">
      <w:pPr>
        <w:spacing w:after="0"/>
      </w:pPr>
      <w:r>
        <w:t xml:space="preserve">VIII.  </w:t>
      </w:r>
      <w:r w:rsidR="00216E7B">
        <w:tab/>
      </w:r>
      <w:r>
        <w:t>Monitoring Workforce and Visitors for COVID-19 Symptoms</w:t>
      </w:r>
    </w:p>
    <w:p w:rsidR="004B041D" w:rsidRDefault="004B041D" w:rsidP="004B041D">
      <w:pPr>
        <w:spacing w:after="0"/>
      </w:pPr>
      <w:r>
        <w:t xml:space="preserve">IX.  </w:t>
      </w:r>
      <w:r w:rsidR="00216E7B">
        <w:tab/>
      </w:r>
      <w:r>
        <w:t>Travel</w:t>
      </w:r>
    </w:p>
    <w:p w:rsidR="00C63375" w:rsidRDefault="00B643F1" w:rsidP="004B041D">
      <w:pPr>
        <w:spacing w:after="0"/>
      </w:pPr>
      <w:r>
        <w:t>X.</w:t>
      </w:r>
      <w:r>
        <w:tab/>
        <w:t>Training</w:t>
      </w:r>
    </w:p>
    <w:p w:rsidR="004B041D" w:rsidRDefault="004B041D" w:rsidP="004B041D">
      <w:pPr>
        <w:spacing w:after="0"/>
      </w:pPr>
      <w:r>
        <w:t>X</w:t>
      </w:r>
      <w:r w:rsidR="00B643F1">
        <w:t>I</w:t>
      </w:r>
      <w:r>
        <w:t xml:space="preserve">.  </w:t>
      </w:r>
      <w:r w:rsidR="00216E7B">
        <w:tab/>
      </w:r>
      <w:r>
        <w:t>Research, Patient Care, Academics</w:t>
      </w:r>
    </w:p>
    <w:p w:rsidR="004B041D" w:rsidRDefault="004B041D" w:rsidP="004B041D">
      <w:pPr>
        <w:spacing w:after="0"/>
      </w:pPr>
      <w:r>
        <w:t>XI</w:t>
      </w:r>
      <w:r w:rsidR="00B643F1">
        <w:t>I</w:t>
      </w:r>
      <w:r>
        <w:t xml:space="preserve">.  </w:t>
      </w:r>
      <w:r w:rsidR="00216E7B">
        <w:tab/>
      </w:r>
      <w:r>
        <w:t>Enforcement</w:t>
      </w:r>
    </w:p>
    <w:p w:rsidR="007B0CED" w:rsidRDefault="007B0CED" w:rsidP="004B041D">
      <w:pPr>
        <w:spacing w:after="0"/>
      </w:pPr>
    </w:p>
    <w:p w:rsidR="00575978" w:rsidRPr="00637997" w:rsidRDefault="0095032C" w:rsidP="00637997">
      <w:pPr>
        <w:pStyle w:val="ListParagraph"/>
        <w:numPr>
          <w:ilvl w:val="0"/>
          <w:numId w:val="20"/>
        </w:numPr>
        <w:ind w:left="720"/>
      </w:pPr>
      <w:r w:rsidRPr="00637997">
        <w:rPr>
          <w:b/>
        </w:rPr>
        <w:t>Telecommuting</w:t>
      </w:r>
    </w:p>
    <w:p w:rsidR="002E47FE" w:rsidRPr="002E47FE" w:rsidRDefault="00D063C0" w:rsidP="00196001">
      <w:pPr>
        <w:pStyle w:val="ListParagraph"/>
        <w:rPr>
          <w:b/>
        </w:rPr>
      </w:pPr>
      <w:r>
        <w:t>The Health Sciences Center campus encourages telecommuting where possible until further notice.</w:t>
      </w:r>
    </w:p>
    <w:p w:rsidR="0095032C" w:rsidRPr="00DA1A5C" w:rsidRDefault="00D063C0" w:rsidP="00196001">
      <w:pPr>
        <w:pStyle w:val="ListParagraph"/>
        <w:numPr>
          <w:ilvl w:val="0"/>
          <w:numId w:val="12"/>
        </w:numPr>
        <w:ind w:left="1080"/>
        <w:rPr>
          <w:rStyle w:val="Hyperlink"/>
          <w:color w:val="auto"/>
          <w:u w:val="none"/>
        </w:rPr>
      </w:pPr>
      <w:r>
        <w:rPr>
          <w:u w:val="single"/>
        </w:rPr>
        <w:t>Guidelines</w:t>
      </w:r>
      <w:r w:rsidR="004D2FDD">
        <w:t xml:space="preserve"> - </w:t>
      </w:r>
      <w:r w:rsidRPr="001F202C">
        <w:rPr>
          <w:rStyle w:val="Hyperlink"/>
          <w:color w:val="auto"/>
          <w:u w:val="none"/>
        </w:rPr>
        <w:t>Human Resourc</w:t>
      </w:r>
      <w:r>
        <w:rPr>
          <w:rStyle w:val="Hyperlink"/>
          <w:color w:val="auto"/>
          <w:u w:val="none"/>
        </w:rPr>
        <w:t>es will continue to update the University’s telecommuting</w:t>
      </w:r>
      <w:r w:rsidRPr="001F202C">
        <w:rPr>
          <w:rStyle w:val="Hyperlink"/>
          <w:color w:val="auto"/>
          <w:u w:val="none"/>
        </w:rPr>
        <w:t xml:space="preserve"> guidelines as appropriate. </w:t>
      </w:r>
      <w:r>
        <w:t>The current</w:t>
      </w:r>
      <w:r w:rsidR="0095032C">
        <w:t xml:space="preserve"> guidelines</w:t>
      </w:r>
      <w:r>
        <w:t xml:space="preserve"> are available </w:t>
      </w:r>
      <w:hyperlink r:id="rId9" w:anchor="80991585-telecommuting" w:history="1">
        <w:r w:rsidRPr="00504588">
          <w:rPr>
            <w:rStyle w:val="Hyperlink"/>
          </w:rPr>
          <w:t>here</w:t>
        </w:r>
      </w:hyperlink>
      <w:r w:rsidR="00575978">
        <w:rPr>
          <w:rStyle w:val="Hyperlink"/>
        </w:rPr>
        <w:t>.</w:t>
      </w:r>
      <w:r w:rsidR="00575978">
        <w:rPr>
          <w:rStyle w:val="Hyperlink"/>
          <w:u w:val="none"/>
        </w:rPr>
        <w:t xml:space="preserve">  </w:t>
      </w:r>
    </w:p>
    <w:p w:rsidR="00A22005" w:rsidRDefault="004D2FDD" w:rsidP="00196001">
      <w:pPr>
        <w:pStyle w:val="ListParagraph"/>
        <w:numPr>
          <w:ilvl w:val="0"/>
          <w:numId w:val="12"/>
        </w:numPr>
        <w:ind w:left="1080"/>
        <w:rPr>
          <w:rStyle w:val="Hyperlink"/>
          <w:color w:val="auto"/>
          <w:u w:val="none"/>
        </w:rPr>
      </w:pPr>
      <w:r w:rsidRPr="00A137E2">
        <w:rPr>
          <w:rStyle w:val="Hyperlink"/>
          <w:color w:val="auto"/>
        </w:rPr>
        <w:t>Staffing Plans</w:t>
      </w:r>
      <w:r>
        <w:rPr>
          <w:rStyle w:val="Hyperlink"/>
          <w:color w:val="auto"/>
          <w:u w:val="none"/>
        </w:rPr>
        <w:t xml:space="preserve"> - </w:t>
      </w:r>
      <w:r w:rsidR="0095032C" w:rsidRPr="00DA1A5C">
        <w:rPr>
          <w:rStyle w:val="Hyperlink"/>
          <w:color w:val="auto"/>
          <w:u w:val="none"/>
        </w:rPr>
        <w:t>Each college dean an</w:t>
      </w:r>
      <w:r w:rsidR="0071790B">
        <w:rPr>
          <w:rStyle w:val="Hyperlink"/>
          <w:color w:val="auto"/>
          <w:u w:val="none"/>
        </w:rPr>
        <w:t>d area vice president (or their designees) are responsible for determining</w:t>
      </w:r>
      <w:r w:rsidR="0095032C" w:rsidRPr="00DA1A5C">
        <w:rPr>
          <w:rStyle w:val="Hyperlink"/>
          <w:color w:val="auto"/>
          <w:u w:val="none"/>
        </w:rPr>
        <w:t xml:space="preserve"> the telecommuting versus in-person </w:t>
      </w:r>
      <w:r w:rsidR="00DA1A5C">
        <w:rPr>
          <w:rStyle w:val="Hyperlink"/>
          <w:color w:val="auto"/>
          <w:u w:val="none"/>
        </w:rPr>
        <w:t xml:space="preserve">staffing needs for their </w:t>
      </w:r>
      <w:r w:rsidR="003119C4">
        <w:rPr>
          <w:rStyle w:val="Hyperlink"/>
          <w:color w:val="auto"/>
          <w:u w:val="none"/>
        </w:rPr>
        <w:lastRenderedPageBreak/>
        <w:t xml:space="preserve">respective </w:t>
      </w:r>
      <w:r w:rsidR="00DA1A5C">
        <w:rPr>
          <w:rStyle w:val="Hyperlink"/>
          <w:color w:val="auto"/>
          <w:u w:val="none"/>
        </w:rPr>
        <w:t xml:space="preserve">areas and will advise employees of scheduling </w:t>
      </w:r>
      <w:r w:rsidR="0000603D">
        <w:rPr>
          <w:rStyle w:val="Hyperlink"/>
          <w:color w:val="auto"/>
          <w:u w:val="none"/>
        </w:rPr>
        <w:t xml:space="preserve">and </w:t>
      </w:r>
      <w:r w:rsidR="00DA1A5C">
        <w:rPr>
          <w:rStyle w:val="Hyperlink"/>
          <w:color w:val="auto"/>
          <w:u w:val="none"/>
        </w:rPr>
        <w:t>location changes</w:t>
      </w:r>
      <w:r w:rsidR="00575978">
        <w:rPr>
          <w:rStyle w:val="Hyperlink"/>
          <w:color w:val="auto"/>
          <w:u w:val="none"/>
        </w:rPr>
        <w:t>, generally</w:t>
      </w:r>
      <w:r w:rsidR="00D104E6">
        <w:rPr>
          <w:rStyle w:val="Hyperlink"/>
          <w:color w:val="auto"/>
          <w:u w:val="none"/>
        </w:rPr>
        <w:t xml:space="preserve"> at least </w:t>
      </w:r>
      <w:r w:rsidR="0071790B">
        <w:rPr>
          <w:rStyle w:val="Hyperlink"/>
          <w:color w:val="auto"/>
          <w:u w:val="none"/>
        </w:rPr>
        <w:t xml:space="preserve">one work </w:t>
      </w:r>
      <w:r w:rsidR="00D104E6">
        <w:rPr>
          <w:rStyle w:val="Hyperlink"/>
          <w:color w:val="auto"/>
          <w:u w:val="none"/>
        </w:rPr>
        <w:t>week</w:t>
      </w:r>
      <w:r w:rsidR="00724CBE">
        <w:rPr>
          <w:rStyle w:val="Hyperlink"/>
          <w:color w:val="auto"/>
          <w:u w:val="none"/>
        </w:rPr>
        <w:t xml:space="preserve"> prior, but not less than 48 hours </w:t>
      </w:r>
      <w:r w:rsidR="00DA1A5C">
        <w:rPr>
          <w:rStyle w:val="Hyperlink"/>
          <w:color w:val="auto"/>
          <w:u w:val="none"/>
        </w:rPr>
        <w:t>prior</w:t>
      </w:r>
      <w:r w:rsidR="00724CBE">
        <w:rPr>
          <w:rStyle w:val="Hyperlink"/>
          <w:color w:val="auto"/>
          <w:u w:val="none"/>
        </w:rPr>
        <w:t>,</w:t>
      </w:r>
      <w:r w:rsidR="00DA1A5C">
        <w:rPr>
          <w:rStyle w:val="Hyperlink"/>
          <w:color w:val="auto"/>
          <w:u w:val="none"/>
        </w:rPr>
        <w:t xml:space="preserve"> to a change in </w:t>
      </w:r>
      <w:r w:rsidR="003119C4">
        <w:rPr>
          <w:rStyle w:val="Hyperlink"/>
          <w:color w:val="auto"/>
          <w:u w:val="none"/>
        </w:rPr>
        <w:t xml:space="preserve">assigned work </w:t>
      </w:r>
      <w:r w:rsidR="00DA1A5C">
        <w:rPr>
          <w:rStyle w:val="Hyperlink"/>
          <w:color w:val="auto"/>
          <w:u w:val="none"/>
        </w:rPr>
        <w:t>location.</w:t>
      </w:r>
      <w:r w:rsidR="00F52DAA">
        <w:rPr>
          <w:rStyle w:val="Hyperlink"/>
          <w:color w:val="auto"/>
          <w:u w:val="none"/>
        </w:rPr>
        <w:t xml:space="preserve">  </w:t>
      </w:r>
    </w:p>
    <w:p w:rsidR="00A22005" w:rsidRDefault="0071790B" w:rsidP="00196001">
      <w:pPr>
        <w:pStyle w:val="ListParagraph"/>
        <w:numPr>
          <w:ilvl w:val="0"/>
          <w:numId w:val="13"/>
        </w:numPr>
        <w:rPr>
          <w:rStyle w:val="Hyperlink"/>
          <w:color w:val="auto"/>
          <w:u w:val="none"/>
        </w:rPr>
      </w:pPr>
      <w:r w:rsidRPr="00A22005">
        <w:rPr>
          <w:rStyle w:val="Hyperlink"/>
          <w:color w:val="auto"/>
          <w:u w:val="none"/>
        </w:rPr>
        <w:t xml:space="preserve">Phased Return - </w:t>
      </w:r>
      <w:r w:rsidR="00F52DAA" w:rsidRPr="00A22005">
        <w:rPr>
          <w:rStyle w:val="Hyperlink"/>
          <w:color w:val="auto"/>
          <w:u w:val="none"/>
        </w:rPr>
        <w:t>The return to work from telecommuting should be phased, when possible,</w:t>
      </w:r>
      <w:r w:rsidR="00864DAE" w:rsidRPr="00A22005">
        <w:rPr>
          <w:rStyle w:val="Hyperlink"/>
          <w:color w:val="auto"/>
          <w:u w:val="none"/>
        </w:rPr>
        <w:t xml:space="preserve"> to allow sufficient time to e</w:t>
      </w:r>
      <w:r w:rsidRPr="00A22005">
        <w:rPr>
          <w:rStyle w:val="Hyperlink"/>
          <w:color w:val="auto"/>
          <w:u w:val="none"/>
        </w:rPr>
        <w:t>nsure the return</w:t>
      </w:r>
      <w:r w:rsidR="00914FE5" w:rsidRPr="00A22005">
        <w:rPr>
          <w:rStyle w:val="Hyperlink"/>
          <w:color w:val="auto"/>
          <w:u w:val="none"/>
        </w:rPr>
        <w:t xml:space="preserve"> is efficient, </w:t>
      </w:r>
      <w:r w:rsidR="00864DAE" w:rsidRPr="00A22005">
        <w:rPr>
          <w:rStyle w:val="Hyperlink"/>
          <w:color w:val="auto"/>
          <w:u w:val="none"/>
        </w:rPr>
        <w:t>effective</w:t>
      </w:r>
      <w:r w:rsidR="00914FE5" w:rsidRPr="00A22005">
        <w:rPr>
          <w:rStyle w:val="Hyperlink"/>
          <w:color w:val="auto"/>
          <w:u w:val="none"/>
        </w:rPr>
        <w:t>,</w:t>
      </w:r>
      <w:r w:rsidR="00864DAE" w:rsidRPr="00A22005">
        <w:rPr>
          <w:rStyle w:val="Hyperlink"/>
          <w:color w:val="auto"/>
          <w:u w:val="none"/>
        </w:rPr>
        <w:t xml:space="preserve"> and meets the requirements of this</w:t>
      </w:r>
      <w:r w:rsidR="00385078" w:rsidRPr="00A22005">
        <w:rPr>
          <w:rStyle w:val="Hyperlink"/>
          <w:color w:val="auto"/>
          <w:u w:val="none"/>
        </w:rPr>
        <w:t xml:space="preserve"> Return </w:t>
      </w:r>
      <w:r w:rsidR="00864DAE" w:rsidRPr="00A22005">
        <w:rPr>
          <w:rStyle w:val="Hyperlink"/>
          <w:color w:val="auto"/>
          <w:u w:val="none"/>
        </w:rPr>
        <w:t>Plan.</w:t>
      </w:r>
    </w:p>
    <w:p w:rsidR="00A22005" w:rsidRDefault="0071790B" w:rsidP="00196001">
      <w:pPr>
        <w:pStyle w:val="ListParagraph"/>
        <w:numPr>
          <w:ilvl w:val="0"/>
          <w:numId w:val="13"/>
        </w:numPr>
        <w:rPr>
          <w:rStyle w:val="Hyperlink"/>
          <w:color w:val="auto"/>
          <w:u w:val="none"/>
        </w:rPr>
      </w:pPr>
      <w:r w:rsidRPr="00A22005">
        <w:rPr>
          <w:rStyle w:val="Hyperlink"/>
          <w:color w:val="auto"/>
          <w:u w:val="none"/>
        </w:rPr>
        <w:t xml:space="preserve">Resurgence - </w:t>
      </w:r>
      <w:r w:rsidR="00864DAE" w:rsidRPr="00A22005">
        <w:rPr>
          <w:rStyle w:val="Hyperlink"/>
          <w:color w:val="auto"/>
          <w:u w:val="none"/>
        </w:rPr>
        <w:t xml:space="preserve">Each area must be prepared to slow or stop the return </w:t>
      </w:r>
      <w:r w:rsidR="00914FE5" w:rsidRPr="00A22005">
        <w:rPr>
          <w:rStyle w:val="Hyperlink"/>
          <w:color w:val="auto"/>
          <w:u w:val="none"/>
        </w:rPr>
        <w:t xml:space="preserve">to campus </w:t>
      </w:r>
      <w:r w:rsidR="00864DAE" w:rsidRPr="00A22005">
        <w:rPr>
          <w:rStyle w:val="Hyperlink"/>
          <w:color w:val="auto"/>
          <w:u w:val="none"/>
        </w:rPr>
        <w:t>and/or to fully</w:t>
      </w:r>
      <w:r w:rsidR="00D64A50" w:rsidRPr="00A22005">
        <w:rPr>
          <w:rStyle w:val="Hyperlink"/>
          <w:color w:val="auto"/>
          <w:u w:val="none"/>
        </w:rPr>
        <w:t xml:space="preserve"> return to telecommuting</w:t>
      </w:r>
      <w:r w:rsidR="00D622AD" w:rsidRPr="00A22005">
        <w:rPr>
          <w:rStyle w:val="Hyperlink"/>
          <w:color w:val="auto"/>
          <w:u w:val="none"/>
        </w:rPr>
        <w:t xml:space="preserve"> as </w:t>
      </w:r>
      <w:r w:rsidR="00956AB2" w:rsidRPr="00A22005">
        <w:rPr>
          <w:rStyle w:val="Hyperlink"/>
          <w:color w:val="auto"/>
          <w:u w:val="none"/>
        </w:rPr>
        <w:t xml:space="preserve">soon as </w:t>
      </w:r>
      <w:r w:rsidR="00D622AD" w:rsidRPr="00A22005">
        <w:rPr>
          <w:rStyle w:val="Hyperlink"/>
          <w:color w:val="auto"/>
          <w:u w:val="none"/>
        </w:rPr>
        <w:t>possible</w:t>
      </w:r>
      <w:r w:rsidR="003C47B5" w:rsidRPr="00A22005">
        <w:rPr>
          <w:rStyle w:val="Hyperlink"/>
          <w:color w:val="auto"/>
          <w:u w:val="none"/>
        </w:rPr>
        <w:t>,</w:t>
      </w:r>
      <w:r w:rsidR="00241FBB" w:rsidRPr="00A22005">
        <w:rPr>
          <w:rStyle w:val="Hyperlink"/>
          <w:color w:val="auto"/>
          <w:u w:val="none"/>
        </w:rPr>
        <w:t xml:space="preserve"> if the University deems it necessary</w:t>
      </w:r>
      <w:r w:rsidR="00864DAE" w:rsidRPr="00A22005">
        <w:rPr>
          <w:rStyle w:val="Hyperlink"/>
          <w:color w:val="auto"/>
          <w:u w:val="none"/>
        </w:rPr>
        <w:t>.</w:t>
      </w:r>
    </w:p>
    <w:p w:rsidR="0008711F" w:rsidRPr="00A22005" w:rsidRDefault="0008711F" w:rsidP="00196001">
      <w:pPr>
        <w:pStyle w:val="ListParagraph"/>
        <w:numPr>
          <w:ilvl w:val="0"/>
          <w:numId w:val="13"/>
        </w:numPr>
        <w:rPr>
          <w:rStyle w:val="Hyperlink"/>
          <w:color w:val="auto"/>
          <w:u w:val="none"/>
        </w:rPr>
      </w:pPr>
      <w:r w:rsidRPr="00A22005">
        <w:rPr>
          <w:rStyle w:val="Hyperlink"/>
          <w:color w:val="auto"/>
          <w:u w:val="none"/>
        </w:rPr>
        <w:t xml:space="preserve">Screening – Employees returning from </w:t>
      </w:r>
      <w:r w:rsidR="006D4DB9" w:rsidRPr="00A22005">
        <w:rPr>
          <w:rStyle w:val="Hyperlink"/>
          <w:color w:val="auto"/>
          <w:u w:val="none"/>
        </w:rPr>
        <w:t xml:space="preserve">a </w:t>
      </w:r>
      <w:r w:rsidR="00F33054" w:rsidRPr="00A22005">
        <w:rPr>
          <w:rStyle w:val="Hyperlink"/>
          <w:color w:val="auto"/>
          <w:u w:val="none"/>
        </w:rPr>
        <w:t xml:space="preserve">telecommuting period </w:t>
      </w:r>
      <w:r w:rsidR="0000603D" w:rsidRPr="00A22005">
        <w:rPr>
          <w:rStyle w:val="Hyperlink"/>
          <w:color w:val="auto"/>
          <w:u w:val="none"/>
        </w:rPr>
        <w:t xml:space="preserve">of </w:t>
      </w:r>
      <w:r w:rsidR="00F33054" w:rsidRPr="00A22005">
        <w:rPr>
          <w:rStyle w:val="Hyperlink"/>
          <w:color w:val="auto"/>
          <w:u w:val="none"/>
        </w:rPr>
        <w:t xml:space="preserve">7 consecutive calendar </w:t>
      </w:r>
      <w:r w:rsidR="006D4DB9" w:rsidRPr="00A22005">
        <w:rPr>
          <w:rStyle w:val="Hyperlink"/>
          <w:color w:val="auto"/>
          <w:u w:val="none"/>
        </w:rPr>
        <w:t xml:space="preserve">days </w:t>
      </w:r>
      <w:r w:rsidR="00F33054" w:rsidRPr="00A22005">
        <w:rPr>
          <w:rStyle w:val="Hyperlink"/>
          <w:color w:val="auto"/>
          <w:u w:val="none"/>
        </w:rPr>
        <w:t xml:space="preserve">or more </w:t>
      </w:r>
      <w:r w:rsidRPr="00A22005">
        <w:rPr>
          <w:rStyle w:val="Hyperlink"/>
          <w:color w:val="auto"/>
          <w:u w:val="none"/>
        </w:rPr>
        <w:t xml:space="preserve">must complete the </w:t>
      </w:r>
      <w:r w:rsidR="005A3DEC" w:rsidRPr="00A22005">
        <w:rPr>
          <w:rStyle w:val="Hyperlink"/>
          <w:color w:val="auto"/>
          <w:u w:val="none"/>
        </w:rPr>
        <w:t xml:space="preserve">COVID-19 Screening and Reporting </w:t>
      </w:r>
      <w:r w:rsidR="00424883" w:rsidRPr="00A22005">
        <w:rPr>
          <w:rStyle w:val="Hyperlink"/>
          <w:color w:val="auto"/>
          <w:u w:val="none"/>
        </w:rPr>
        <w:t>Tool</w:t>
      </w:r>
      <w:r w:rsidR="005A3DEC" w:rsidRPr="00A22005">
        <w:rPr>
          <w:rStyle w:val="Hyperlink"/>
          <w:color w:val="auto"/>
          <w:u w:val="none"/>
        </w:rPr>
        <w:t xml:space="preserve"> </w:t>
      </w:r>
      <w:hyperlink r:id="rId10" w:history="1">
        <w:r w:rsidRPr="003349C3">
          <w:rPr>
            <w:rStyle w:val="Hyperlink"/>
          </w:rPr>
          <w:t>https://covidreporting.ouhsc.edu/</w:t>
        </w:r>
      </w:hyperlink>
      <w:r w:rsidRPr="003349C3">
        <w:rPr>
          <w:rStyle w:val="Hyperlink"/>
        </w:rPr>
        <w:t xml:space="preserve"> </w:t>
      </w:r>
      <w:r w:rsidRPr="00A22005">
        <w:rPr>
          <w:rStyle w:val="Hyperlink"/>
          <w:color w:val="auto"/>
          <w:u w:val="none"/>
        </w:rPr>
        <w:t xml:space="preserve">and email the results to their immediate supervisor prior to returning to campus. </w:t>
      </w:r>
    </w:p>
    <w:p w:rsidR="00D02665" w:rsidRPr="00A925B3" w:rsidRDefault="00D02665" w:rsidP="00D02665">
      <w:pPr>
        <w:pStyle w:val="ListParagraph"/>
        <w:ind w:left="1800"/>
        <w:rPr>
          <w:rStyle w:val="Hyperlink"/>
          <w:color w:val="auto"/>
          <w:u w:val="none"/>
        </w:rPr>
      </w:pPr>
    </w:p>
    <w:p w:rsidR="00C2390A" w:rsidRPr="00C2390A" w:rsidRDefault="00EC5186" w:rsidP="00C2390A">
      <w:pPr>
        <w:pStyle w:val="ListParagraph"/>
        <w:numPr>
          <w:ilvl w:val="0"/>
          <w:numId w:val="20"/>
        </w:numPr>
        <w:spacing w:after="0"/>
        <w:ind w:left="720"/>
      </w:pPr>
      <w:r>
        <w:rPr>
          <w:b/>
        </w:rPr>
        <w:t xml:space="preserve">Reopening Common Areas, </w:t>
      </w:r>
      <w:r w:rsidR="00D46C90">
        <w:rPr>
          <w:b/>
        </w:rPr>
        <w:t>Resuming</w:t>
      </w:r>
      <w:r w:rsidR="00A925B3" w:rsidRPr="00D02665">
        <w:rPr>
          <w:b/>
        </w:rPr>
        <w:t xml:space="preserve"> Services</w:t>
      </w:r>
      <w:r>
        <w:rPr>
          <w:b/>
        </w:rPr>
        <w:t xml:space="preserve">, </w:t>
      </w:r>
      <w:r w:rsidR="00D46C90">
        <w:rPr>
          <w:b/>
        </w:rPr>
        <w:t xml:space="preserve">and </w:t>
      </w:r>
      <w:r>
        <w:rPr>
          <w:b/>
        </w:rPr>
        <w:t xml:space="preserve">Returning </w:t>
      </w:r>
      <w:r w:rsidRPr="00D46C90">
        <w:rPr>
          <w:b/>
        </w:rPr>
        <w:t>Employees</w:t>
      </w:r>
      <w:r w:rsidR="003F4551">
        <w:rPr>
          <w:b/>
        </w:rPr>
        <w:t xml:space="preserve"> and Students</w:t>
      </w:r>
      <w:r w:rsidR="00D02665" w:rsidRPr="00D46C90">
        <w:rPr>
          <w:b/>
        </w:rPr>
        <w:t xml:space="preserve"> </w:t>
      </w:r>
      <w:r w:rsidR="00D46C90" w:rsidRPr="00D46C90">
        <w:rPr>
          <w:b/>
        </w:rPr>
        <w:t>to Campus</w:t>
      </w:r>
    </w:p>
    <w:p w:rsidR="00D063C0" w:rsidRPr="00D063C0" w:rsidRDefault="00D063C0" w:rsidP="00C2390A">
      <w:pPr>
        <w:pStyle w:val="ListParagraph"/>
        <w:spacing w:after="0"/>
      </w:pPr>
      <w:r>
        <w:t xml:space="preserve">The Health Sciences Center will comply with </w:t>
      </w:r>
      <w:r w:rsidR="0000603D">
        <w:t>the following</w:t>
      </w:r>
      <w:r>
        <w:t xml:space="preserve"> in reopening areas and resuming services on campus.</w:t>
      </w:r>
    </w:p>
    <w:p w:rsidR="00A925B3" w:rsidRDefault="00D02665" w:rsidP="00D6741C">
      <w:pPr>
        <w:pStyle w:val="ListParagraph"/>
        <w:numPr>
          <w:ilvl w:val="0"/>
          <w:numId w:val="22"/>
        </w:numPr>
        <w:ind w:left="1080"/>
      </w:pPr>
      <w:r w:rsidRPr="00EC5186">
        <w:rPr>
          <w:u w:val="single"/>
        </w:rPr>
        <w:t>Requirements to Reopen/Resume</w:t>
      </w:r>
      <w:r>
        <w:t xml:space="preserve"> - </w:t>
      </w:r>
      <w:r w:rsidR="00A925B3">
        <w:t>Common areas that have been closed</w:t>
      </w:r>
      <w:r w:rsidR="00D46C90">
        <w:t xml:space="preserve"> </w:t>
      </w:r>
      <w:r w:rsidR="003F5EF1">
        <w:t xml:space="preserve">or have substantially </w:t>
      </w:r>
      <w:r w:rsidR="0009520E">
        <w:t xml:space="preserve">reduced operations </w:t>
      </w:r>
      <w:r w:rsidR="00D46C90">
        <w:t>as a result of COVID-19</w:t>
      </w:r>
      <w:r w:rsidR="00A925B3">
        <w:t>, such as health clubs, eating areas, mass transit,</w:t>
      </w:r>
      <w:r w:rsidR="0000603D">
        <w:t xml:space="preserve"> and clinics/services</w:t>
      </w:r>
      <w:r w:rsidR="0009520E">
        <w:t>,</w:t>
      </w:r>
      <w:r w:rsidR="0000603D">
        <w:t xml:space="preserve"> </w:t>
      </w:r>
      <w:r w:rsidR="00A925B3">
        <w:t>may not reopen until both of the following have occurred:</w:t>
      </w:r>
    </w:p>
    <w:p w:rsidR="005E509D" w:rsidRDefault="005E509D" w:rsidP="0022699C">
      <w:pPr>
        <w:pStyle w:val="ListParagraph"/>
        <w:numPr>
          <w:ilvl w:val="1"/>
          <w:numId w:val="14"/>
        </w:numPr>
        <w:ind w:left="1800"/>
      </w:pPr>
      <w:r>
        <w:t xml:space="preserve">Dean/VP Approval - </w:t>
      </w:r>
      <w:r w:rsidR="00A925B3">
        <w:t xml:space="preserve">The director or administrator over the area has submitted a written Return to Services </w:t>
      </w:r>
      <w:r w:rsidR="003119C4">
        <w:t xml:space="preserve">(RTS) </w:t>
      </w:r>
      <w:r w:rsidR="00A925B3">
        <w:t>Plan for approval to the appropriate dean or vice president</w:t>
      </w:r>
      <w:r>
        <w:t>, and the RTS has been approved</w:t>
      </w:r>
      <w:r w:rsidR="00A925B3">
        <w:t>. The RTS Plan</w:t>
      </w:r>
      <w:r w:rsidR="0071790B">
        <w:t xml:space="preserve"> </w:t>
      </w:r>
      <w:r w:rsidR="00D64A50">
        <w:t xml:space="preserve">must </w:t>
      </w:r>
      <w:r>
        <w:t>include</w:t>
      </w:r>
      <w:r w:rsidR="00A925B3">
        <w:t xml:space="preserve"> </w:t>
      </w:r>
      <w:r w:rsidR="0000603D">
        <w:t xml:space="preserve">at a minimum </w:t>
      </w:r>
      <w:r w:rsidR="0009520E">
        <w:t xml:space="preserve">how it will meet </w:t>
      </w:r>
      <w:r w:rsidR="00A925B3">
        <w:t xml:space="preserve">the </w:t>
      </w:r>
      <w:r w:rsidR="0009520E">
        <w:t xml:space="preserve">applicable </w:t>
      </w:r>
      <w:r w:rsidR="00A925B3">
        <w:t xml:space="preserve">requirements of </w:t>
      </w:r>
      <w:r w:rsidR="0009520E">
        <w:t xml:space="preserve">each section of </w:t>
      </w:r>
      <w:r w:rsidR="00A925B3">
        <w:t xml:space="preserve">this </w:t>
      </w:r>
      <w:r w:rsidR="00385078">
        <w:t>R</w:t>
      </w:r>
      <w:r w:rsidR="0071790B">
        <w:t>eturn</w:t>
      </w:r>
      <w:r w:rsidR="00A925B3">
        <w:t xml:space="preserve"> Plan</w:t>
      </w:r>
      <w:r w:rsidR="00F10157">
        <w:t xml:space="preserve"> and how it will be communicated to those individuals it applies to</w:t>
      </w:r>
      <w:r w:rsidR="00A925B3">
        <w:t xml:space="preserve">. The RTS Plan </w:t>
      </w:r>
      <w:r w:rsidR="00A925B3" w:rsidRPr="005E509D">
        <w:rPr>
          <w:i/>
        </w:rPr>
        <w:t>(</w:t>
      </w:r>
      <w:hyperlink r:id="rId11" w:history="1">
        <w:r w:rsidR="00A925B3" w:rsidRPr="00EA7BAB">
          <w:rPr>
            <w:rStyle w:val="Hyperlink"/>
            <w:i/>
          </w:rPr>
          <w:t>see checklist</w:t>
        </w:r>
      </w:hyperlink>
      <w:r w:rsidR="00A925B3">
        <w:t xml:space="preserve">) must address how services will be reduced or suspended </w:t>
      </w:r>
      <w:r w:rsidR="00D64A50">
        <w:t xml:space="preserve">if </w:t>
      </w:r>
      <w:r w:rsidR="0071790B">
        <w:t xml:space="preserve">such is directed </w:t>
      </w:r>
      <w:r w:rsidR="00A925B3">
        <w:t>due to a resurgence of COVID-19</w:t>
      </w:r>
      <w:r w:rsidR="00914FE5">
        <w:t xml:space="preserve">.  </w:t>
      </w:r>
    </w:p>
    <w:p w:rsidR="00EC5186" w:rsidRDefault="005E509D" w:rsidP="0022699C">
      <w:pPr>
        <w:pStyle w:val="ListParagraph"/>
        <w:numPr>
          <w:ilvl w:val="1"/>
          <w:numId w:val="14"/>
        </w:numPr>
        <w:ind w:left="1800"/>
      </w:pPr>
      <w:r>
        <w:t xml:space="preserve">Final Approval - </w:t>
      </w:r>
      <w:r w:rsidR="00A925B3">
        <w:t xml:space="preserve">The SPPOT/EOC Exec Team has </w:t>
      </w:r>
      <w:r>
        <w:t xml:space="preserve">reviewed and </w:t>
      </w:r>
      <w:r w:rsidR="00A925B3">
        <w:t>approved the RTS Plan.</w:t>
      </w:r>
    </w:p>
    <w:p w:rsidR="008E2F71" w:rsidRDefault="008E2F71" w:rsidP="0022699C">
      <w:pPr>
        <w:pStyle w:val="ListParagraph"/>
        <w:numPr>
          <w:ilvl w:val="1"/>
          <w:numId w:val="14"/>
        </w:numPr>
        <w:ind w:left="1800"/>
      </w:pPr>
      <w:r>
        <w:t>Revisions – Substantive revisions to the RTS plan must be approved by the SPPOT/EOC Exec Team and communicated as described in the original RTS plan.</w:t>
      </w:r>
    </w:p>
    <w:p w:rsidR="00CA19AA" w:rsidRPr="00CA19AA" w:rsidRDefault="002C39D0" w:rsidP="00D6741C">
      <w:pPr>
        <w:pStyle w:val="ListParagraph"/>
        <w:numPr>
          <w:ilvl w:val="0"/>
          <w:numId w:val="22"/>
        </w:numPr>
        <w:tabs>
          <w:tab w:val="left" w:pos="1530"/>
        </w:tabs>
        <w:ind w:left="1080"/>
        <w:rPr>
          <w:i/>
        </w:rPr>
      </w:pPr>
      <w:r>
        <w:rPr>
          <w:u w:val="single"/>
        </w:rPr>
        <w:t xml:space="preserve">Screening </w:t>
      </w:r>
      <w:r w:rsidR="00EC5186" w:rsidRPr="00EC5186">
        <w:rPr>
          <w:u w:val="single"/>
        </w:rPr>
        <w:t>for Employees to Return</w:t>
      </w:r>
      <w:r w:rsidR="00D46C90">
        <w:rPr>
          <w:u w:val="single"/>
        </w:rPr>
        <w:t xml:space="preserve"> to Campus</w:t>
      </w:r>
      <w:r w:rsidR="00EC5186">
        <w:t xml:space="preserve"> - </w:t>
      </w:r>
      <w:r w:rsidR="00EC5186" w:rsidRPr="003349C3">
        <w:t xml:space="preserve">Employees who have been telecommuting or on administrative leave </w:t>
      </w:r>
      <w:r w:rsidR="00F33054" w:rsidRPr="003349C3">
        <w:t xml:space="preserve">for 7 consecutive calendar days or more </w:t>
      </w:r>
      <w:r w:rsidR="00EC5186" w:rsidRPr="003349C3">
        <w:t>m</w:t>
      </w:r>
      <w:r w:rsidR="005A3DEC" w:rsidRPr="003349C3">
        <w:t>ust complete the COVID-19 S</w:t>
      </w:r>
      <w:r w:rsidR="00EC5186" w:rsidRPr="003349C3">
        <w:t xml:space="preserve">creening </w:t>
      </w:r>
      <w:r w:rsidR="005A3DEC" w:rsidRPr="003349C3">
        <w:t xml:space="preserve">and Reporting </w:t>
      </w:r>
      <w:r w:rsidR="00424883" w:rsidRPr="003349C3">
        <w:t>Tool</w:t>
      </w:r>
      <w:r w:rsidR="006E412D" w:rsidRPr="003349C3">
        <w:t xml:space="preserve"> </w:t>
      </w:r>
      <w:hyperlink r:id="rId12" w:history="1">
        <w:r w:rsidR="00EC5186" w:rsidRPr="003349C3">
          <w:rPr>
            <w:rStyle w:val="Hyperlink"/>
          </w:rPr>
          <w:t>https://covidreporting.ouhsc.edu/</w:t>
        </w:r>
      </w:hyperlink>
      <w:r w:rsidR="00EC5186" w:rsidRPr="003349C3">
        <w:t xml:space="preserve"> and submit it before returning to </w:t>
      </w:r>
      <w:r w:rsidR="00D46C90" w:rsidRPr="003349C3">
        <w:t xml:space="preserve">work on </w:t>
      </w:r>
      <w:r w:rsidR="00EC5186" w:rsidRPr="003349C3">
        <w:t>campus. They will be notified via email of their screening results. T</w:t>
      </w:r>
      <w:r w:rsidR="0000603D">
        <w:t>he employee must forward t</w:t>
      </w:r>
      <w:r w:rsidR="00EC5186" w:rsidRPr="003349C3">
        <w:t xml:space="preserve">his return to work email to the employee’s direct </w:t>
      </w:r>
      <w:proofErr w:type="gramStart"/>
      <w:r w:rsidR="00EC5186" w:rsidRPr="003349C3">
        <w:t>supervisor</w:t>
      </w:r>
      <w:proofErr w:type="gramEnd"/>
      <w:r w:rsidR="00EC5186" w:rsidRPr="003349C3">
        <w:t xml:space="preserve"> upon receipt.</w:t>
      </w:r>
    </w:p>
    <w:p w:rsidR="00EC5186" w:rsidRPr="008C5315" w:rsidRDefault="003F4551" w:rsidP="00D6741C">
      <w:pPr>
        <w:pStyle w:val="ListParagraph"/>
        <w:numPr>
          <w:ilvl w:val="0"/>
          <w:numId w:val="22"/>
        </w:numPr>
        <w:ind w:left="1080"/>
        <w:rPr>
          <w:i/>
        </w:rPr>
      </w:pPr>
      <w:bookmarkStart w:id="1" w:name="_Hlk41505371"/>
      <w:r w:rsidRPr="008C5315">
        <w:rPr>
          <w:u w:val="single"/>
        </w:rPr>
        <w:t xml:space="preserve">Screening for Students to Return to Campus </w:t>
      </w:r>
      <w:r w:rsidRPr="008C5315">
        <w:t>-</w:t>
      </w:r>
      <w:r w:rsidR="00CA19AA" w:rsidRPr="008C5315">
        <w:t xml:space="preserve"> Students who have been away from on-site</w:t>
      </w:r>
      <w:r w:rsidR="005B3C3B" w:rsidRPr="008C5315">
        <w:t xml:space="preserve"> instruction at</w:t>
      </w:r>
      <w:r w:rsidR="00CA19AA" w:rsidRPr="008C5315">
        <w:t xml:space="preserve"> their assigned campus location </w:t>
      </w:r>
      <w:r w:rsidR="007B0CED" w:rsidRPr="008C5315">
        <w:t xml:space="preserve">or </w:t>
      </w:r>
      <w:r w:rsidR="005B3C3B" w:rsidRPr="008C5315">
        <w:t xml:space="preserve">from an </w:t>
      </w:r>
      <w:r w:rsidR="007B0CED" w:rsidRPr="008C5315">
        <w:t>on-campus</w:t>
      </w:r>
      <w:r w:rsidR="00CA19AA" w:rsidRPr="008C5315">
        <w:t xml:space="preserve"> clinical rotation</w:t>
      </w:r>
      <w:r w:rsidR="0009520E">
        <w:rPr>
          <w:rStyle w:val="FootnoteReference"/>
        </w:rPr>
        <w:footnoteReference w:id="3"/>
      </w:r>
      <w:r w:rsidR="00CA19AA" w:rsidRPr="008C5315">
        <w:t xml:space="preserve"> for 7 consecutive calendar days or more must complete the COVID-19 Screening and Reporting Tool </w:t>
      </w:r>
      <w:hyperlink r:id="rId13" w:history="1">
        <w:r w:rsidR="00CA19AA" w:rsidRPr="008C5315">
          <w:rPr>
            <w:rStyle w:val="Hyperlink"/>
          </w:rPr>
          <w:t>https://covidreporting.ouhsc.edu/</w:t>
        </w:r>
      </w:hyperlink>
      <w:r w:rsidR="00CA19AA" w:rsidRPr="008C5315">
        <w:t xml:space="preserve">. Student &amp; Employee Health Clinic will notify </w:t>
      </w:r>
      <w:r w:rsidR="00CA19AA" w:rsidRPr="008C5315">
        <w:lastRenderedPageBreak/>
        <w:t>students via email of their screening results</w:t>
      </w:r>
      <w:r w:rsidR="00135B04" w:rsidRPr="008C5315">
        <w:t>, and the student will send the results to their campus’ central Student Affairs office</w:t>
      </w:r>
      <w:r w:rsidR="0009520E">
        <w:t>-</w:t>
      </w:r>
      <w:r w:rsidR="00135B04" w:rsidRPr="008C5315">
        <w:t xml:space="preserve"> HSC Student Affairs or OU-Tulsa Student Affairs</w:t>
      </w:r>
      <w:r w:rsidR="0009520E">
        <w:t xml:space="preserve"> -</w:t>
      </w:r>
      <w:r w:rsidR="00135B04" w:rsidRPr="008C5315">
        <w:t xml:space="preserve"> before attending a clinical rotation or on-site instruction</w:t>
      </w:r>
      <w:r w:rsidR="00CA19AA" w:rsidRPr="008C5315">
        <w:t xml:space="preserve">. </w:t>
      </w:r>
      <w:r w:rsidR="00135B04" w:rsidRPr="008C5315">
        <w:t>That office</w:t>
      </w:r>
      <w:r w:rsidR="00CA19AA" w:rsidRPr="008C5315">
        <w:t xml:space="preserve"> will forward information to college student services and/or</w:t>
      </w:r>
      <w:r w:rsidR="0009520E">
        <w:t xml:space="preserve"> the</w:t>
      </w:r>
      <w:r w:rsidR="00CA19AA" w:rsidRPr="008C5315">
        <w:t xml:space="preserve"> program director. </w:t>
      </w:r>
    </w:p>
    <w:bookmarkEnd w:id="1"/>
    <w:p w:rsidR="004D2FDD" w:rsidRPr="004D2FDD" w:rsidRDefault="004D2FDD" w:rsidP="004D2FDD">
      <w:pPr>
        <w:pStyle w:val="ListParagraph"/>
        <w:spacing w:after="0"/>
        <w:ind w:left="2520"/>
      </w:pPr>
    </w:p>
    <w:p w:rsidR="00B652E0" w:rsidRPr="00D063C0" w:rsidRDefault="004413F9" w:rsidP="00D063C0">
      <w:pPr>
        <w:pStyle w:val="ListParagraph"/>
        <w:numPr>
          <w:ilvl w:val="0"/>
          <w:numId w:val="20"/>
        </w:numPr>
        <w:spacing w:after="0"/>
        <w:ind w:left="720"/>
        <w:rPr>
          <w:b/>
        </w:rPr>
      </w:pPr>
      <w:r w:rsidRPr="00D063C0">
        <w:rPr>
          <w:b/>
        </w:rPr>
        <w:t xml:space="preserve">Social </w:t>
      </w:r>
      <w:r w:rsidR="00977333" w:rsidRPr="00D063C0">
        <w:rPr>
          <w:b/>
        </w:rPr>
        <w:t>D</w:t>
      </w:r>
      <w:r w:rsidRPr="00D063C0">
        <w:rPr>
          <w:b/>
        </w:rPr>
        <w:t>istancing</w:t>
      </w:r>
    </w:p>
    <w:p w:rsidR="00724CBE" w:rsidRPr="00860456" w:rsidRDefault="00724CBE" w:rsidP="0022699C">
      <w:pPr>
        <w:ind w:left="720"/>
        <w:contextualSpacing/>
      </w:pPr>
      <w:r>
        <w:t>Social Distancing refers to keeping a distance of at least 6 feet between individuals. According to the Centers for Disease Control</w:t>
      </w:r>
      <w:r w:rsidR="00FF45B0">
        <w:t xml:space="preserve"> and Prevention</w:t>
      </w:r>
      <w:r>
        <w:t xml:space="preserve"> (CDC), it is one of the most effective methods of </w:t>
      </w:r>
      <w:r w:rsidR="007C3E82">
        <w:t xml:space="preserve">avoiding infection and </w:t>
      </w:r>
      <w:r>
        <w:t>reducing the spread of COVID-19.</w:t>
      </w:r>
      <w:r w:rsidR="007C3E82">
        <w:t xml:space="preserve"> Social distancing requirements apply in all workplace settings on campus</w:t>
      </w:r>
      <w:r w:rsidR="00280E4A">
        <w:t>;</w:t>
      </w:r>
      <w:r w:rsidR="007C3E82">
        <w:t xml:space="preserve"> in public settings, common areas, and shared spaces on campus</w:t>
      </w:r>
      <w:r w:rsidR="00280E4A">
        <w:t>;</w:t>
      </w:r>
      <w:r w:rsidR="007C3E82">
        <w:t xml:space="preserve"> and at OUHSC events.</w:t>
      </w:r>
    </w:p>
    <w:p w:rsidR="0077337E" w:rsidRDefault="004B3DF2" w:rsidP="00D6741C">
      <w:pPr>
        <w:pStyle w:val="ListParagraph"/>
        <w:numPr>
          <w:ilvl w:val="0"/>
          <w:numId w:val="8"/>
        </w:numPr>
        <w:ind w:left="1080"/>
      </w:pPr>
      <w:r w:rsidRPr="00A137E2">
        <w:rPr>
          <w:u w:val="single"/>
        </w:rPr>
        <w:t>Public Settings, Common Areas, Shared Spaces</w:t>
      </w:r>
      <w:r>
        <w:t xml:space="preserve"> - </w:t>
      </w:r>
      <w:r w:rsidR="00A9347A">
        <w:t>W</w:t>
      </w:r>
      <w:r w:rsidR="005435C2">
        <w:t>hen in public</w:t>
      </w:r>
      <w:r w:rsidR="00A46849">
        <w:t xml:space="preserve"> settings</w:t>
      </w:r>
      <w:r w:rsidR="00085E4A">
        <w:t xml:space="preserve">, </w:t>
      </w:r>
      <w:r w:rsidR="00A9347A">
        <w:t>common areas</w:t>
      </w:r>
      <w:r w:rsidR="00085E4A">
        <w:t>, and shared spaces</w:t>
      </w:r>
      <w:r w:rsidR="00A9347A">
        <w:t xml:space="preserve"> </w:t>
      </w:r>
      <w:r w:rsidR="005435C2">
        <w:t>on campus</w:t>
      </w:r>
      <w:r w:rsidR="00085E4A">
        <w:t xml:space="preserve"> -</w:t>
      </w:r>
      <w:r w:rsidR="005435C2">
        <w:t xml:space="preserve"> </w:t>
      </w:r>
      <w:r w:rsidR="00A9347A">
        <w:t xml:space="preserve">such as </w:t>
      </w:r>
      <w:r w:rsidR="005435C2">
        <w:t>classrooms</w:t>
      </w:r>
      <w:r w:rsidR="00D622AD">
        <w:t>/lecture halls</w:t>
      </w:r>
      <w:r w:rsidR="005435C2">
        <w:t xml:space="preserve">, labs, </w:t>
      </w:r>
      <w:r w:rsidR="002260BE">
        <w:t>areas of ingress and egress</w:t>
      </w:r>
      <w:r w:rsidR="00A9347A">
        <w:t>,</w:t>
      </w:r>
      <w:r w:rsidR="002260BE">
        <w:t xml:space="preserve"> food courts, libraries, </w:t>
      </w:r>
      <w:r w:rsidR="00A9347A">
        <w:t>and break rooms</w:t>
      </w:r>
      <w:r w:rsidR="00085E4A">
        <w:t xml:space="preserve"> -</w:t>
      </w:r>
      <w:r w:rsidR="00A9347A">
        <w:t xml:space="preserve"> individuals must</w:t>
      </w:r>
      <w:r w:rsidR="00D104E6">
        <w:t xml:space="preserve"> maintain</w:t>
      </w:r>
      <w:r w:rsidR="005435C2">
        <w:t xml:space="preserve"> </w:t>
      </w:r>
      <w:r w:rsidR="003F262B">
        <w:t xml:space="preserve">a </w:t>
      </w:r>
      <w:r w:rsidR="005435C2">
        <w:t>physical distance from others</w:t>
      </w:r>
      <w:r w:rsidR="00A9347A">
        <w:t xml:space="preserve"> </w:t>
      </w:r>
      <w:r w:rsidR="003F262B">
        <w:t>of</w:t>
      </w:r>
      <w:r w:rsidR="00A9347A">
        <w:t xml:space="preserve"> at least six feet</w:t>
      </w:r>
      <w:r w:rsidR="0040003C">
        <w:t xml:space="preserve">.  </w:t>
      </w:r>
    </w:p>
    <w:p w:rsidR="0077337E" w:rsidRDefault="0040003C" w:rsidP="0022699C">
      <w:pPr>
        <w:pStyle w:val="ListParagraph"/>
        <w:numPr>
          <w:ilvl w:val="1"/>
          <w:numId w:val="8"/>
        </w:numPr>
        <w:ind w:left="1800"/>
      </w:pPr>
      <w:r>
        <w:t xml:space="preserve">If the </w:t>
      </w:r>
      <w:r w:rsidR="006A54DF">
        <w:t xml:space="preserve">public </w:t>
      </w:r>
      <w:r>
        <w:t xml:space="preserve">setting, </w:t>
      </w:r>
      <w:r w:rsidR="006A54DF">
        <w:t xml:space="preserve">common </w:t>
      </w:r>
      <w:r>
        <w:t xml:space="preserve">area, or </w:t>
      </w:r>
      <w:r w:rsidR="006A54DF">
        <w:t xml:space="preserve">shared </w:t>
      </w:r>
      <w:r>
        <w:t xml:space="preserve">space is indoors, individuals </w:t>
      </w:r>
      <w:r w:rsidR="00896E48">
        <w:t xml:space="preserve">must </w:t>
      </w:r>
      <w:r w:rsidR="006A54DF">
        <w:t xml:space="preserve">also </w:t>
      </w:r>
      <w:r>
        <w:t>wear a surgical</w:t>
      </w:r>
      <w:r w:rsidR="00956AB2">
        <w:t>-</w:t>
      </w:r>
      <w:r>
        <w:t xml:space="preserve">style mask (see Section </w:t>
      </w:r>
      <w:r w:rsidR="00263194">
        <w:t>IV</w:t>
      </w:r>
      <w:r w:rsidR="00063060">
        <w:t xml:space="preserve"> </w:t>
      </w:r>
      <w:r>
        <w:t>below)</w:t>
      </w:r>
      <w:r w:rsidR="005435C2">
        <w:t>.</w:t>
      </w:r>
    </w:p>
    <w:p w:rsidR="00E422F9" w:rsidRDefault="0077337E" w:rsidP="0022699C">
      <w:pPr>
        <w:pStyle w:val="ListParagraph"/>
        <w:numPr>
          <w:ilvl w:val="1"/>
          <w:numId w:val="8"/>
        </w:numPr>
        <w:ind w:left="1800"/>
      </w:pPr>
      <w:r>
        <w:t xml:space="preserve">If the setting, area, or space is outdoors, </w:t>
      </w:r>
      <w:r w:rsidR="006A54DF">
        <w:t>individuals are</w:t>
      </w:r>
      <w:r>
        <w:t xml:space="preserve"> strongly encouraged</w:t>
      </w:r>
      <w:r w:rsidR="006A54DF">
        <w:t xml:space="preserve"> to wear a surgical</w:t>
      </w:r>
      <w:r w:rsidR="00956AB2">
        <w:t>-</w:t>
      </w:r>
      <w:r w:rsidR="006A54DF">
        <w:t>style mask</w:t>
      </w:r>
      <w:r>
        <w:t>.</w:t>
      </w:r>
      <w:r w:rsidR="005435C2">
        <w:t xml:space="preserve"> </w:t>
      </w:r>
    </w:p>
    <w:p w:rsidR="0077337E" w:rsidRDefault="004B3DF2" w:rsidP="00D6741C">
      <w:pPr>
        <w:pStyle w:val="ListParagraph"/>
        <w:numPr>
          <w:ilvl w:val="0"/>
          <w:numId w:val="8"/>
        </w:numPr>
        <w:ind w:left="1080"/>
      </w:pPr>
      <w:r w:rsidRPr="00A137E2">
        <w:rPr>
          <w:u w:val="single"/>
        </w:rPr>
        <w:t>Social Distancing Alternatives</w:t>
      </w:r>
      <w:r>
        <w:t xml:space="preserve"> - </w:t>
      </w:r>
      <w:r w:rsidR="00A9347A">
        <w:t>When s</w:t>
      </w:r>
      <w:r w:rsidR="00706EAF">
        <w:t xml:space="preserve">ocial </w:t>
      </w:r>
      <w:r w:rsidR="00A9347A">
        <w:t>d</w:t>
      </w:r>
      <w:r w:rsidR="00706EAF">
        <w:t xml:space="preserve">istancing of </w:t>
      </w:r>
      <w:r w:rsidR="00A9347A">
        <w:t xml:space="preserve">at least </w:t>
      </w:r>
      <w:r w:rsidR="00706EAF">
        <w:t xml:space="preserve">six feet </w:t>
      </w:r>
      <w:r w:rsidR="00635D45">
        <w:t xml:space="preserve">is </w:t>
      </w:r>
      <w:r w:rsidR="00A9347A">
        <w:t xml:space="preserve">not </w:t>
      </w:r>
      <w:r w:rsidR="00635D45">
        <w:t>possible</w:t>
      </w:r>
      <w:r w:rsidR="006A54DF">
        <w:t xml:space="preserve"> in an </w:t>
      </w:r>
      <w:r w:rsidR="0040003C" w:rsidRPr="006A54DF">
        <w:t>indoor</w:t>
      </w:r>
      <w:r w:rsidR="006A54DF" w:rsidRPr="006A54DF">
        <w:t xml:space="preserve"> or outdoor</w:t>
      </w:r>
      <w:r w:rsidR="0040003C">
        <w:t xml:space="preserve"> </w:t>
      </w:r>
      <w:r w:rsidR="0077337E">
        <w:t xml:space="preserve">public setting, common area, or shared </w:t>
      </w:r>
      <w:r w:rsidR="00D104E6">
        <w:t>space,</w:t>
      </w:r>
      <w:r w:rsidR="00896E48">
        <w:t xml:space="preserve"> a mask must be worn </w:t>
      </w:r>
      <w:r w:rsidR="00896E48" w:rsidRPr="0009520E">
        <w:rPr>
          <w:u w:val="single"/>
        </w:rPr>
        <w:t>and</w:t>
      </w:r>
      <w:r w:rsidR="00D104E6">
        <w:t xml:space="preserve"> </w:t>
      </w:r>
      <w:r w:rsidR="0077337E">
        <w:t xml:space="preserve">additional mitigation, such as </w:t>
      </w:r>
      <w:r w:rsidR="00A9347A">
        <w:t>the following</w:t>
      </w:r>
      <w:r w:rsidR="002A32B7">
        <w:t xml:space="preserve"> options</w:t>
      </w:r>
      <w:r w:rsidR="0077337E">
        <w:t>,</w:t>
      </w:r>
      <w:r w:rsidR="00A9347A">
        <w:t xml:space="preserve"> must be implemented</w:t>
      </w:r>
      <w:r w:rsidR="0077337E">
        <w:t xml:space="preserve"> where possible</w:t>
      </w:r>
      <w:r w:rsidR="00A9347A">
        <w:t>:</w:t>
      </w:r>
      <w:r w:rsidR="00635D45">
        <w:t xml:space="preserve"> </w:t>
      </w:r>
    </w:p>
    <w:p w:rsidR="002A32B7" w:rsidRDefault="0077337E" w:rsidP="0022699C">
      <w:pPr>
        <w:pStyle w:val="ListParagraph"/>
        <w:ind w:left="1080"/>
      </w:pPr>
      <w:r>
        <w:tab/>
      </w:r>
      <w:r w:rsidR="002A32B7">
        <w:t>-</w:t>
      </w:r>
      <w:r w:rsidR="00D104E6">
        <w:t>s</w:t>
      </w:r>
      <w:r w:rsidR="00635D45">
        <w:t>taggered</w:t>
      </w:r>
      <w:r w:rsidR="00A9347A">
        <w:t xml:space="preserve"> breaks or</w:t>
      </w:r>
      <w:r w:rsidR="00635D45">
        <w:t xml:space="preserve"> shifts </w:t>
      </w:r>
      <w:r>
        <w:tab/>
      </w:r>
      <w:r w:rsidR="002A32B7">
        <w:tab/>
      </w:r>
    </w:p>
    <w:p w:rsidR="00D622AD" w:rsidRDefault="002A32B7" w:rsidP="0022699C">
      <w:pPr>
        <w:pStyle w:val="ListParagraph"/>
        <w:ind w:left="1080" w:firstLine="360"/>
      </w:pPr>
      <w:r>
        <w:t>-</w:t>
      </w:r>
      <w:r w:rsidR="00A9347A">
        <w:t xml:space="preserve">re-configured </w:t>
      </w:r>
      <w:r w:rsidR="00635D45">
        <w:t>physical spac</w:t>
      </w:r>
      <w:r w:rsidR="002260BE">
        <w:t>e</w:t>
      </w:r>
    </w:p>
    <w:p w:rsidR="002A32B7" w:rsidRDefault="00D622AD" w:rsidP="0022699C">
      <w:pPr>
        <w:pStyle w:val="ListParagraph"/>
        <w:ind w:left="1080" w:firstLine="360"/>
      </w:pPr>
      <w:r>
        <w:t>-re-configured seating designations</w:t>
      </w:r>
      <w:r w:rsidR="0077337E">
        <w:tab/>
      </w:r>
    </w:p>
    <w:p w:rsidR="002A32B7" w:rsidRDefault="002A32B7" w:rsidP="0022699C">
      <w:pPr>
        <w:pStyle w:val="ListParagraph"/>
        <w:ind w:left="1440"/>
      </w:pPr>
      <w:r>
        <w:t>-</w:t>
      </w:r>
      <w:r w:rsidR="00A9347A">
        <w:t xml:space="preserve">revised workflow </w:t>
      </w:r>
      <w:r>
        <w:t xml:space="preserve">processes (e.g., </w:t>
      </w:r>
      <w:r w:rsidR="00635D45">
        <w:t>drive through, partiti</w:t>
      </w:r>
      <w:r>
        <w:t>ons, curbside pickup)</w:t>
      </w:r>
      <w:r w:rsidR="00A9347A">
        <w:t xml:space="preserve"> </w:t>
      </w:r>
    </w:p>
    <w:p w:rsidR="002A32B7" w:rsidRDefault="002A32B7" w:rsidP="0022699C">
      <w:pPr>
        <w:pStyle w:val="ListParagraph"/>
        <w:ind w:left="1440"/>
      </w:pPr>
      <w:r>
        <w:t>-</w:t>
      </w:r>
      <w:r w:rsidR="00635D45">
        <w:t>flexible meeting</w:t>
      </w:r>
      <w:r w:rsidR="00A9347A">
        <w:t xml:space="preserve"> format</w:t>
      </w:r>
      <w:r w:rsidR="00635D45">
        <w:t>s</w:t>
      </w:r>
      <w:r w:rsidR="0077337E">
        <w:t xml:space="preserve">, such as </w:t>
      </w:r>
      <w:r w:rsidR="00ED2C58">
        <w:t>video o</w:t>
      </w:r>
      <w:r w:rsidR="009F7C9F">
        <w:t>r telephone conferencing</w:t>
      </w:r>
      <w:r w:rsidR="00A9347A">
        <w:t>.</w:t>
      </w:r>
      <w:r w:rsidR="00635D45">
        <w:t xml:space="preserve"> </w:t>
      </w:r>
    </w:p>
    <w:p w:rsidR="00F20E02" w:rsidRDefault="004B3DF2" w:rsidP="00F20E02">
      <w:pPr>
        <w:pStyle w:val="ListParagraph"/>
        <w:numPr>
          <w:ilvl w:val="0"/>
          <w:numId w:val="8"/>
        </w:numPr>
        <w:spacing w:after="0"/>
      </w:pPr>
      <w:r w:rsidRPr="00A137E2">
        <w:rPr>
          <w:u w:val="single"/>
        </w:rPr>
        <w:t>Large Groups</w:t>
      </w:r>
      <w:r w:rsidR="0062411D">
        <w:t xml:space="preserve"> –</w:t>
      </w:r>
      <w:r w:rsidR="00F20E02">
        <w:t xml:space="preserve"> Gatherings of more than 1</w:t>
      </w:r>
      <w:r w:rsidR="0062411D">
        <w:t xml:space="preserve">0 people, including for meetings, must be avoided unless the gathering is determined by the appropriate vice president to be necessary for a mission-critical function </w:t>
      </w:r>
      <w:r w:rsidR="0062411D" w:rsidRPr="0062411D">
        <w:rPr>
          <w:u w:val="single"/>
        </w:rPr>
        <w:t>and</w:t>
      </w:r>
      <w:r w:rsidR="0062411D">
        <w:t xml:space="preserve"> additional precautionary measures will be taken, including at a minimum, those described in this Section III.</w:t>
      </w:r>
    </w:p>
    <w:p w:rsidR="007E53F9" w:rsidRDefault="00F20E02" w:rsidP="00F20E02">
      <w:pPr>
        <w:spacing w:after="0"/>
      </w:pPr>
      <w:r>
        <w:t xml:space="preserve"> </w:t>
      </w:r>
    </w:p>
    <w:p w:rsidR="006F4574" w:rsidRPr="00D063C0" w:rsidRDefault="007E53F9" w:rsidP="0041711D">
      <w:pPr>
        <w:pStyle w:val="ListParagraph"/>
        <w:numPr>
          <w:ilvl w:val="0"/>
          <w:numId w:val="20"/>
        </w:numPr>
        <w:spacing w:after="0"/>
        <w:ind w:left="720"/>
        <w:rPr>
          <w:b/>
        </w:rPr>
      </w:pPr>
      <w:r>
        <w:rPr>
          <w:b/>
        </w:rPr>
        <w:t>M</w:t>
      </w:r>
      <w:r w:rsidR="00D02665">
        <w:rPr>
          <w:b/>
        </w:rPr>
        <w:t>asks</w:t>
      </w:r>
      <w:r w:rsidR="005435C2" w:rsidRPr="006F4574">
        <w:rPr>
          <w:b/>
        </w:rPr>
        <w:t xml:space="preserve"> </w:t>
      </w:r>
    </w:p>
    <w:p w:rsidR="003E79BF" w:rsidRDefault="003833A1" w:rsidP="0041711D">
      <w:pPr>
        <w:tabs>
          <w:tab w:val="left" w:pos="720"/>
        </w:tabs>
        <w:ind w:left="720"/>
        <w:contextualSpacing/>
      </w:pPr>
      <w:r>
        <w:t>U</w:t>
      </w:r>
      <w:r w:rsidR="00DA55B3">
        <w:t xml:space="preserve">ntil further notice, </w:t>
      </w:r>
      <w:r w:rsidR="002440C6">
        <w:t>all individuals in</w:t>
      </w:r>
      <w:r w:rsidR="007C64DD">
        <w:t xml:space="preserve"> indoor</w:t>
      </w:r>
      <w:r w:rsidR="002440C6">
        <w:t xml:space="preserve"> campus facilities must wear</w:t>
      </w:r>
      <w:r w:rsidR="007B0CED">
        <w:t xml:space="preserve"> a</w:t>
      </w:r>
      <w:r w:rsidR="002440C6">
        <w:t xml:space="preserve"> d</w:t>
      </w:r>
      <w:r w:rsidR="00094CBA">
        <w:t xml:space="preserve">isposable or </w:t>
      </w:r>
      <w:r w:rsidR="005C57B5">
        <w:t>cloth</w:t>
      </w:r>
      <w:r w:rsidR="00094CBA">
        <w:t xml:space="preserve"> </w:t>
      </w:r>
      <w:hyperlink r:id="rId14" w:history="1">
        <w:r w:rsidR="00094CBA" w:rsidRPr="008D35B8">
          <w:rPr>
            <w:rStyle w:val="Hyperlink"/>
          </w:rPr>
          <w:t>surgical</w:t>
        </w:r>
        <w:r w:rsidR="00956AB2">
          <w:rPr>
            <w:rStyle w:val="Hyperlink"/>
          </w:rPr>
          <w:t>-</w:t>
        </w:r>
        <w:r w:rsidR="00094CBA" w:rsidRPr="008D35B8">
          <w:rPr>
            <w:rStyle w:val="Hyperlink"/>
          </w:rPr>
          <w:t xml:space="preserve"> style facemask</w:t>
        </w:r>
      </w:hyperlink>
      <w:r w:rsidR="00D01DBC">
        <w:t>.</w:t>
      </w:r>
      <w:r w:rsidR="001005CE">
        <w:rPr>
          <w:rStyle w:val="FootnoteReference"/>
        </w:rPr>
        <w:footnoteReference w:id="4"/>
      </w:r>
      <w:r w:rsidR="00D01DBC">
        <w:t xml:space="preserve"> </w:t>
      </w:r>
      <w:r w:rsidR="00280E4A">
        <w:t xml:space="preserve"> </w:t>
      </w:r>
      <w:r w:rsidR="00006DA6" w:rsidRPr="00006DA6">
        <w:t xml:space="preserve">Masks must be worn by all passengers in University-provided transportation, </w:t>
      </w:r>
      <w:r w:rsidR="003A31E3">
        <w:t xml:space="preserve">such as </w:t>
      </w:r>
      <w:r w:rsidR="00006DA6" w:rsidRPr="00006DA6">
        <w:t xml:space="preserve">shuttles, buses, police safety escorts, and </w:t>
      </w:r>
      <w:r w:rsidR="00BF3C79">
        <w:t>University owned/leased vehicles.</w:t>
      </w:r>
      <w:r w:rsidR="00006DA6" w:rsidRPr="00006DA6">
        <w:t>  Drivers of any University vehicles must wear a mask when passengers are present.</w:t>
      </w:r>
      <w:r w:rsidR="00006DA6" w:rsidRPr="00BF3C79">
        <w:t xml:space="preserve"> </w:t>
      </w:r>
      <w:r w:rsidR="00D01DBC">
        <w:t xml:space="preserve">Masks must also be worn </w:t>
      </w:r>
      <w:r w:rsidR="00860456">
        <w:t>in outdoor campus spaces where social distancing cannot be maintained.</w:t>
      </w:r>
      <w:r w:rsidR="0044790D">
        <w:t xml:space="preserve"> </w:t>
      </w:r>
      <w:r w:rsidR="00D01DBC">
        <w:t>Scarves, bandanas, and the like are not adequate.</w:t>
      </w:r>
      <w:r w:rsidR="00EE7FAB">
        <w:t xml:space="preserve"> Masks must cover the nose and mouth.</w:t>
      </w:r>
    </w:p>
    <w:p w:rsidR="00477BD0" w:rsidRDefault="00477BD0" w:rsidP="0041711D">
      <w:pPr>
        <w:tabs>
          <w:tab w:val="left" w:pos="720"/>
        </w:tabs>
        <w:ind w:left="720"/>
        <w:contextualSpacing/>
      </w:pPr>
      <w:r>
        <w:lastRenderedPageBreak/>
        <w:t xml:space="preserve">NOTE:  </w:t>
      </w:r>
      <w:r w:rsidRPr="00713BD4">
        <w:t xml:space="preserve">If an </w:t>
      </w:r>
      <w:r w:rsidRPr="00477BD0">
        <w:rPr>
          <w:u w:val="single"/>
        </w:rPr>
        <w:t>employee or student</w:t>
      </w:r>
      <w:r w:rsidRPr="00713BD4">
        <w:t xml:space="preserve"> indicates compliance is not possible due to medical reasons, the individual should be referred to the appropriate University office to request accommodations on the basis of disability (Human Resources for employees; Accessibility &amp; Disability Resource Center for students).</w:t>
      </w:r>
      <w:r>
        <w:t xml:space="preserve">  </w:t>
      </w:r>
      <w:r>
        <w:rPr>
          <w:rFonts w:cstheme="minorHAnsi"/>
        </w:rPr>
        <w:t xml:space="preserve">If a </w:t>
      </w:r>
      <w:r w:rsidRPr="00477BD0">
        <w:rPr>
          <w:rFonts w:cstheme="minorHAnsi"/>
          <w:u w:val="single"/>
        </w:rPr>
        <w:t>patient</w:t>
      </w:r>
      <w:r>
        <w:rPr>
          <w:rFonts w:cstheme="minorHAnsi"/>
        </w:rPr>
        <w:t xml:space="preserve"> states compliance is not possible due to medical reasons, contact the clinic manager for direction. </w:t>
      </w:r>
      <w:r w:rsidRPr="005C57B5">
        <w:rPr>
          <w:rFonts w:cstheme="minorHAnsi"/>
          <w:b/>
        </w:rPr>
        <w:t>Cloth</w:t>
      </w:r>
      <w:r w:rsidRPr="005C57B5">
        <w:rPr>
          <w:rFonts w:cstheme="minorHAnsi"/>
        </w:rPr>
        <w:t xml:space="preserve"> face coverings should NOT be worn by children under the age of 2 or anyone who has trouble breathing, is unconscious, incapacitated, or otherwise unable to remove the mask without assistance</w:t>
      </w:r>
      <w:r>
        <w:rPr>
          <w:rFonts w:cstheme="minorHAnsi"/>
        </w:rPr>
        <w:t>, per the CDC.</w:t>
      </w:r>
    </w:p>
    <w:p w:rsidR="0086043A" w:rsidRPr="0086043A" w:rsidRDefault="00860456" w:rsidP="0041711D">
      <w:pPr>
        <w:pStyle w:val="ListParagraph"/>
        <w:numPr>
          <w:ilvl w:val="8"/>
          <w:numId w:val="8"/>
        </w:numPr>
        <w:ind w:left="1080"/>
        <w:rPr>
          <w:i/>
        </w:rPr>
      </w:pPr>
      <w:r w:rsidRPr="00D02665">
        <w:rPr>
          <w:u w:val="single"/>
        </w:rPr>
        <w:t>Masks</w:t>
      </w:r>
      <w:r w:rsidR="00094CBA" w:rsidRPr="003E79BF">
        <w:rPr>
          <w:u w:val="single"/>
        </w:rPr>
        <w:t xml:space="preserve"> for Students and E</w:t>
      </w:r>
      <w:r w:rsidR="00D02665">
        <w:rPr>
          <w:u w:val="single"/>
        </w:rPr>
        <w:t>mployees</w:t>
      </w:r>
      <w:r>
        <w:t xml:space="preserve"> - </w:t>
      </w:r>
      <w:r w:rsidR="00D01DBC">
        <w:t>The University will make</w:t>
      </w:r>
      <w:r w:rsidR="006F4574">
        <w:t xml:space="preserve"> masks available to </w:t>
      </w:r>
      <w:r w:rsidR="0044790D">
        <w:t>employees and students appropriate to their on-campus</w:t>
      </w:r>
      <w:r w:rsidR="00D01DBC">
        <w:t xml:space="preserve"> </w:t>
      </w:r>
      <w:r w:rsidR="0044790D">
        <w:t>responsibilities</w:t>
      </w:r>
      <w:r w:rsidR="00D01DBC">
        <w:t xml:space="preserve">. </w:t>
      </w:r>
    </w:p>
    <w:p w:rsidR="0086043A" w:rsidRPr="0086043A" w:rsidRDefault="001005CE" w:rsidP="00EA69C5">
      <w:pPr>
        <w:pStyle w:val="ListParagraph"/>
        <w:numPr>
          <w:ilvl w:val="3"/>
          <w:numId w:val="14"/>
        </w:numPr>
        <w:ind w:left="1800"/>
        <w:rPr>
          <w:i/>
        </w:rPr>
      </w:pPr>
      <w:r>
        <w:t xml:space="preserve">Employees - Masks for employees outside of OU Physicians may be obtained from the central </w:t>
      </w:r>
      <w:r w:rsidR="007C64DD">
        <w:t xml:space="preserve">mask </w:t>
      </w:r>
      <w:r>
        <w:t xml:space="preserve">inventory. Managers should complete this </w:t>
      </w:r>
      <w:hyperlink r:id="rId15" w:history="1">
        <w:r w:rsidRPr="00504588">
          <w:rPr>
            <w:rStyle w:val="Hyperlink"/>
          </w:rPr>
          <w:t>form</w:t>
        </w:r>
      </w:hyperlink>
      <w:r>
        <w:t xml:space="preserve"> to obtain surgical-style masks for their employees. Masks for employees within OU Physicians will be obtained through the normal OU Physicians supply chain.</w:t>
      </w:r>
      <w:r w:rsidR="00280E4A">
        <w:t xml:space="preserve">  Masks for clinical providers in the College of Dentistry will be provided through normal </w:t>
      </w:r>
      <w:r w:rsidR="00EE7FAB">
        <w:t xml:space="preserve">College of Dentistry </w:t>
      </w:r>
      <w:r w:rsidR="00280E4A">
        <w:t>supply chain.</w:t>
      </w:r>
    </w:p>
    <w:p w:rsidR="0086043A" w:rsidRPr="0086043A" w:rsidRDefault="001005CE" w:rsidP="00EA69C5">
      <w:pPr>
        <w:pStyle w:val="ListParagraph"/>
        <w:numPr>
          <w:ilvl w:val="3"/>
          <w:numId w:val="14"/>
        </w:numPr>
        <w:ind w:left="1800"/>
        <w:rPr>
          <w:i/>
        </w:rPr>
      </w:pPr>
      <w:r>
        <w:t>Students - Masks for students who are on campus may be obtained from the HSC Student Affairs or OU-Tulsa Student Affairs office</w:t>
      </w:r>
      <w:r w:rsidR="00956AB2">
        <w:t>s</w:t>
      </w:r>
      <w:r>
        <w:t xml:space="preserve">. </w:t>
      </w:r>
      <w:r w:rsidR="00006DA6">
        <w:t>Masks for students in Lawton, Weatherford, Ardmore, and Bartlesville may be obtained from the program coordinators.</w:t>
      </w:r>
      <w:r w:rsidR="003A31E3">
        <w:t xml:space="preserve"> Students in off-campus rotations who need masks should contact HSC Student Affairs o</w:t>
      </w:r>
      <w:r w:rsidR="00C77841">
        <w:t>r</w:t>
      </w:r>
      <w:r w:rsidR="003A31E3">
        <w:t xml:space="preserve"> OU-Tulsa Student Affairs, as applicable.</w:t>
      </w:r>
    </w:p>
    <w:p w:rsidR="0086043A" w:rsidRPr="0086043A" w:rsidRDefault="00D02665" w:rsidP="007C738D">
      <w:pPr>
        <w:pStyle w:val="ListParagraph"/>
        <w:numPr>
          <w:ilvl w:val="3"/>
          <w:numId w:val="14"/>
        </w:numPr>
        <w:tabs>
          <w:tab w:val="left" w:pos="1710"/>
        </w:tabs>
        <w:ind w:left="1710" w:hanging="270"/>
        <w:rPr>
          <w:i/>
        </w:rPr>
      </w:pPr>
      <w:r>
        <w:t>Re-Use -</w:t>
      </w:r>
      <w:r w:rsidR="00BF3C79">
        <w:t>E</w:t>
      </w:r>
      <w:r w:rsidR="007C738D">
        <w:t xml:space="preserve">mployees and students must </w:t>
      </w:r>
      <w:r>
        <w:t xml:space="preserve">observe the following re-use guidelines: </w:t>
      </w:r>
    </w:p>
    <w:p w:rsidR="0086043A" w:rsidRPr="0086043A" w:rsidRDefault="00D02665" w:rsidP="00315577">
      <w:pPr>
        <w:pStyle w:val="ListParagraph"/>
        <w:numPr>
          <w:ilvl w:val="4"/>
          <w:numId w:val="14"/>
        </w:numPr>
        <w:ind w:left="2520"/>
        <w:rPr>
          <w:i/>
        </w:rPr>
      </w:pPr>
      <w:r>
        <w:t>Disposable Masks - Disposable filtration surgical</w:t>
      </w:r>
      <w:r w:rsidR="00956AB2">
        <w:t xml:space="preserve">-style </w:t>
      </w:r>
      <w:r>
        <w:t>masks worn in non-clinical/non-surgical areas should be worn on campus for five consecutive days, or until</w:t>
      </w:r>
      <w:r w:rsidR="00421F04">
        <w:t xml:space="preserve"> soiled, whichever occurs </w:t>
      </w:r>
      <w:proofErr w:type="gramStart"/>
      <w:r w:rsidR="00421F04">
        <w:t>first.</w:t>
      </w:r>
      <w:proofErr w:type="gramEnd"/>
      <w:r w:rsidRPr="0086043A">
        <w:rPr>
          <w:i/>
        </w:rPr>
        <w:t xml:space="preserve"> </w:t>
      </w:r>
      <w:r>
        <w:t>(Those worn in surgical</w:t>
      </w:r>
      <w:r w:rsidR="003A31E3">
        <w:t>, research,</w:t>
      </w:r>
      <w:r>
        <w:t xml:space="preserve"> and clinical areas are subject to surgical</w:t>
      </w:r>
      <w:r w:rsidR="003A31E3">
        <w:t>, research, o</w:t>
      </w:r>
      <w:r w:rsidR="00C77841">
        <w:t>r</w:t>
      </w:r>
      <w:r>
        <w:t xml:space="preserve"> department re-use policies.)</w:t>
      </w:r>
    </w:p>
    <w:p w:rsidR="00C5476C" w:rsidRPr="00C5476C" w:rsidRDefault="005C57B5" w:rsidP="00315577">
      <w:pPr>
        <w:pStyle w:val="ListParagraph"/>
        <w:numPr>
          <w:ilvl w:val="4"/>
          <w:numId w:val="14"/>
        </w:numPr>
        <w:ind w:left="2520"/>
        <w:rPr>
          <w:i/>
        </w:rPr>
      </w:pPr>
      <w:r>
        <w:t>Cloth</w:t>
      </w:r>
      <w:r w:rsidR="00D02665">
        <w:t xml:space="preserve"> Masks </w:t>
      </w:r>
      <w:r>
        <w:t>–</w:t>
      </w:r>
      <w:r w:rsidR="00D02665">
        <w:t xml:space="preserve"> </w:t>
      </w:r>
      <w:r>
        <w:t xml:space="preserve">Cloth </w:t>
      </w:r>
      <w:r w:rsidR="00D02665">
        <w:t>masks should be washed and fully dried</w:t>
      </w:r>
      <w:r w:rsidR="0013702B">
        <w:t xml:space="preserve"> after each day’s wear</w:t>
      </w:r>
      <w:r w:rsidR="00D02665" w:rsidRPr="0095032C">
        <w:t xml:space="preserve">. </w:t>
      </w:r>
      <w:hyperlink r:id="rId16" w:history="1">
        <w:r w:rsidR="00D02665" w:rsidRPr="008D35B8">
          <w:rPr>
            <w:rStyle w:val="Hyperlink"/>
          </w:rPr>
          <w:t>Appropriate cleaning of the mask</w:t>
        </w:r>
      </w:hyperlink>
      <w:r w:rsidR="00D02665" w:rsidRPr="0095032C">
        <w:t xml:space="preserve"> is </w:t>
      </w:r>
      <w:r w:rsidR="00D02665">
        <w:t>the responsibility of the wearer.</w:t>
      </w:r>
    </w:p>
    <w:p w:rsidR="00C5476C" w:rsidRPr="00C5476C" w:rsidRDefault="00094CBA" w:rsidP="00635D0F">
      <w:pPr>
        <w:pStyle w:val="ListParagraph"/>
        <w:numPr>
          <w:ilvl w:val="8"/>
          <w:numId w:val="8"/>
        </w:numPr>
        <w:ind w:left="1080"/>
        <w:rPr>
          <w:i/>
        </w:rPr>
      </w:pPr>
      <w:r w:rsidRPr="00C5476C">
        <w:rPr>
          <w:u w:val="single"/>
        </w:rPr>
        <w:t>Masks for Patients and Guests</w:t>
      </w:r>
      <w:r>
        <w:t xml:space="preserve"> </w:t>
      </w:r>
      <w:r w:rsidR="007C64DD">
        <w:t>–</w:t>
      </w:r>
      <w:r>
        <w:t xml:space="preserve"> </w:t>
      </w:r>
      <w:r w:rsidR="003833A1">
        <w:t>When possible, p</w:t>
      </w:r>
      <w:r w:rsidR="007C64DD">
        <w:t xml:space="preserve">atients should be asked to wear </w:t>
      </w:r>
      <w:r w:rsidR="003833A1">
        <w:t xml:space="preserve">their own </w:t>
      </w:r>
      <w:r w:rsidR="007C64DD">
        <w:t>mask to their appointments</w:t>
      </w:r>
      <w:r w:rsidR="003833A1">
        <w:t xml:space="preserve"> </w:t>
      </w:r>
      <w:r w:rsidR="007C64DD">
        <w:t xml:space="preserve">and to advise their guests to do the same. </w:t>
      </w:r>
      <w:r w:rsidR="00D01DBC" w:rsidRPr="00094CBA">
        <w:t>The</w:t>
      </w:r>
      <w:r w:rsidR="00D01DBC">
        <w:t xml:space="preserve"> University will make surgical</w:t>
      </w:r>
      <w:r w:rsidR="00956AB2">
        <w:t>-</w:t>
      </w:r>
      <w:r w:rsidR="00D01DBC">
        <w:t>style masks available</w:t>
      </w:r>
      <w:r w:rsidR="0044790D">
        <w:t xml:space="preserve"> to patients and their guests who do not bring their own </w:t>
      </w:r>
      <w:r>
        <w:t xml:space="preserve">approved </w:t>
      </w:r>
      <w:r w:rsidR="0044790D">
        <w:t>masks.</w:t>
      </w:r>
      <w:r w:rsidR="00D01DBC">
        <w:t xml:space="preserve"> </w:t>
      </w:r>
      <w:r>
        <w:t xml:space="preserve">Information regarding obtaining masks for patients and accompanying family members or caregivers who do not have their own masks is available from clinic staff.  </w:t>
      </w:r>
    </w:p>
    <w:p w:rsidR="00094CBA" w:rsidRPr="0003259E" w:rsidRDefault="00094CBA" w:rsidP="00635D0F">
      <w:pPr>
        <w:pStyle w:val="ListParagraph"/>
        <w:numPr>
          <w:ilvl w:val="8"/>
          <w:numId w:val="8"/>
        </w:numPr>
        <w:ind w:left="1080"/>
        <w:rPr>
          <w:i/>
        </w:rPr>
      </w:pPr>
      <w:r w:rsidRPr="00C5476C">
        <w:rPr>
          <w:u w:val="single"/>
        </w:rPr>
        <w:t xml:space="preserve">Masks for Vendors and Others </w:t>
      </w:r>
      <w:r w:rsidRPr="00094CBA">
        <w:t>-</w:t>
      </w:r>
      <w:r>
        <w:t xml:space="preserve"> Vendors and other visitors are expected to provide their own masks when on campus. </w:t>
      </w:r>
      <w:r w:rsidR="00CB01F2">
        <w:t xml:space="preserve">Departments should advise their </w:t>
      </w:r>
      <w:r w:rsidR="003A31E3">
        <w:t xml:space="preserve">visitors, </w:t>
      </w:r>
      <w:r w:rsidR="00CB01F2">
        <w:t>vendors</w:t>
      </w:r>
      <w:r w:rsidR="003A31E3">
        <w:t>,</w:t>
      </w:r>
      <w:r w:rsidR="00CB01F2">
        <w:t xml:space="preserve"> and service providers of this requirement.  </w:t>
      </w:r>
      <w:r>
        <w:t>Clinic staff may provide masks if sufficient supply is available.</w:t>
      </w:r>
    </w:p>
    <w:p w:rsidR="0003259E" w:rsidRPr="006C270B" w:rsidRDefault="0003259E" w:rsidP="0003259E">
      <w:pPr>
        <w:pStyle w:val="ListParagraph"/>
        <w:ind w:left="990"/>
      </w:pPr>
    </w:p>
    <w:p w:rsidR="00637997" w:rsidRPr="0003259E" w:rsidRDefault="00D063C0" w:rsidP="0003259E">
      <w:pPr>
        <w:pStyle w:val="ListParagraph"/>
        <w:numPr>
          <w:ilvl w:val="0"/>
          <w:numId w:val="20"/>
        </w:numPr>
        <w:spacing w:after="0"/>
        <w:ind w:left="720"/>
        <w:rPr>
          <w:b/>
        </w:rPr>
      </w:pPr>
      <w:r w:rsidRPr="0003259E">
        <w:rPr>
          <w:b/>
        </w:rPr>
        <w:t>Building Access and Amenities</w:t>
      </w:r>
      <w:r w:rsidR="00637997" w:rsidRPr="0003259E">
        <w:rPr>
          <w:b/>
        </w:rPr>
        <w:t xml:space="preserve"> </w:t>
      </w:r>
    </w:p>
    <w:p w:rsidR="003662AB" w:rsidRPr="003662AB" w:rsidRDefault="003662AB" w:rsidP="00315577">
      <w:pPr>
        <w:ind w:left="720"/>
        <w:contextualSpacing/>
      </w:pPr>
      <w:r>
        <w:t>Building access and amenities must be managed in a manner that minimizes the risk of infection and spread of COVID-19.</w:t>
      </w:r>
    </w:p>
    <w:p w:rsidR="006831A0" w:rsidRPr="00CB01F2" w:rsidRDefault="00637997" w:rsidP="00D6741C">
      <w:pPr>
        <w:pStyle w:val="ListParagraph"/>
        <w:numPr>
          <w:ilvl w:val="0"/>
          <w:numId w:val="19"/>
        </w:numPr>
        <w:ind w:left="1080"/>
      </w:pPr>
      <w:r w:rsidRPr="00CB01F2">
        <w:rPr>
          <w:u w:val="single"/>
        </w:rPr>
        <w:t>Building Access</w:t>
      </w:r>
      <w:r w:rsidRPr="00CB01F2">
        <w:t xml:space="preserve"> </w:t>
      </w:r>
      <w:r w:rsidR="00DB3D09" w:rsidRPr="00CB01F2">
        <w:t>-</w:t>
      </w:r>
      <w:r w:rsidRPr="00CB01F2">
        <w:t xml:space="preserve"> Access to campus buildings must remain </w:t>
      </w:r>
      <w:r w:rsidR="00A01A0D" w:rsidRPr="00CB01F2">
        <w:t>restricte</w:t>
      </w:r>
      <w:r w:rsidRPr="00CB01F2">
        <w:t>d until further notice</w:t>
      </w:r>
      <w:r w:rsidR="00EE0E4B" w:rsidRPr="00CB01F2">
        <w:t xml:space="preserve"> or until expanded access is </w:t>
      </w:r>
      <w:r w:rsidR="00EA5BAE" w:rsidRPr="00CB01F2">
        <w:t xml:space="preserve">coordinated by Operations and the building coordinator and then approved by </w:t>
      </w:r>
      <w:r w:rsidR="00EE0E4B" w:rsidRPr="00CB01F2">
        <w:t>the appropriate dean or vice</w:t>
      </w:r>
      <w:r w:rsidR="00FF45B0" w:rsidRPr="00CB01F2">
        <w:t xml:space="preserve"> president</w:t>
      </w:r>
      <w:r w:rsidRPr="00CB01F2">
        <w:t>.</w:t>
      </w:r>
      <w:r w:rsidR="00EE0E4B" w:rsidRPr="00CB01F2">
        <w:t xml:space="preserve"> </w:t>
      </w:r>
      <w:r w:rsidR="00CB01F2">
        <w:t>E</w:t>
      </w:r>
      <w:r w:rsidR="00EE0E4B" w:rsidRPr="00CB01F2">
        <w:t xml:space="preserve">xpanded access </w:t>
      </w:r>
      <w:r w:rsidR="00CB01F2">
        <w:t>may be</w:t>
      </w:r>
      <w:r w:rsidR="00EE0E4B" w:rsidRPr="00CB01F2">
        <w:t xml:space="preserve"> granted </w:t>
      </w:r>
      <w:r w:rsidR="00CB01F2">
        <w:t xml:space="preserve">only </w:t>
      </w:r>
      <w:r w:rsidR="00CB01F2">
        <w:lastRenderedPageBreak/>
        <w:t xml:space="preserve">if </w:t>
      </w:r>
      <w:r w:rsidR="00EE0E4B" w:rsidRPr="00CB01F2">
        <w:t xml:space="preserve">mitigation steps </w:t>
      </w:r>
      <w:r w:rsidR="00CB01F2">
        <w:t>will</w:t>
      </w:r>
      <w:r w:rsidR="00EE0E4B" w:rsidRPr="00CB01F2">
        <w:t xml:space="preserve"> be </w:t>
      </w:r>
      <w:r w:rsidR="007B0CED" w:rsidRPr="00CB01F2">
        <w:t>put in place</w:t>
      </w:r>
      <w:r w:rsidR="00EE0E4B" w:rsidRPr="00CB01F2">
        <w:t xml:space="preserve"> to limit access to </w:t>
      </w:r>
      <w:r w:rsidR="007B0CED" w:rsidRPr="00CB01F2">
        <w:t xml:space="preserve">only </w:t>
      </w:r>
      <w:r w:rsidR="00EE0E4B" w:rsidRPr="00CB01F2">
        <w:t>those individuals intended or invited to be in the building.</w:t>
      </w:r>
    </w:p>
    <w:p w:rsidR="006831A0" w:rsidRDefault="00637997" w:rsidP="00315577">
      <w:pPr>
        <w:pStyle w:val="ListParagraph"/>
        <w:numPr>
          <w:ilvl w:val="1"/>
          <w:numId w:val="19"/>
        </w:numPr>
        <w:ind w:left="1800"/>
      </w:pPr>
      <w:r>
        <w:t xml:space="preserve">Patient Care Buildings - Public entrances to patient care buildings must be attended, and </w:t>
      </w:r>
      <w:r w:rsidR="00CA0DC9">
        <w:t xml:space="preserve">current </w:t>
      </w:r>
      <w:r>
        <w:t>visitor policies must be observed. Vendors entering patient care buildings must enter through the main entrance. Other entrances must be restricted to key or card access.</w:t>
      </w:r>
    </w:p>
    <w:p w:rsidR="006831A0" w:rsidRDefault="00637997" w:rsidP="00315577">
      <w:pPr>
        <w:pStyle w:val="ListParagraph"/>
        <w:numPr>
          <w:ilvl w:val="1"/>
          <w:numId w:val="19"/>
        </w:numPr>
        <w:ind w:left="1800"/>
      </w:pPr>
      <w:r>
        <w:t xml:space="preserve">All Other Buildings - Entrances to other buildings must be restricted to key or card access or be attended. </w:t>
      </w:r>
    </w:p>
    <w:p w:rsidR="00FF45B0" w:rsidRDefault="00E0277E" w:rsidP="00315577">
      <w:pPr>
        <w:pStyle w:val="ListParagraph"/>
        <w:numPr>
          <w:ilvl w:val="1"/>
          <w:numId w:val="19"/>
        </w:numPr>
        <w:ind w:left="1800"/>
      </w:pPr>
      <w:r w:rsidRPr="00CB01F2">
        <w:t>Food Delivery, All Buildings – Third party food delivery services may not enter or be given access to enter campus buildings.  Individuals ordering from these services must arrange to meet the delivery person outside of the building</w:t>
      </w:r>
      <w:r>
        <w:t>.</w:t>
      </w:r>
    </w:p>
    <w:p w:rsidR="00304186" w:rsidRDefault="00D063C0" w:rsidP="00913883">
      <w:pPr>
        <w:pStyle w:val="ListParagraph"/>
        <w:numPr>
          <w:ilvl w:val="0"/>
          <w:numId w:val="19"/>
        </w:numPr>
        <w:ind w:left="1080"/>
      </w:pPr>
      <w:r>
        <w:rPr>
          <w:u w:val="single"/>
        </w:rPr>
        <w:t xml:space="preserve">Building </w:t>
      </w:r>
      <w:r w:rsidR="003662AB">
        <w:rPr>
          <w:u w:val="single"/>
        </w:rPr>
        <w:t>Amenities</w:t>
      </w:r>
      <w:r w:rsidR="00637997">
        <w:t xml:space="preserve"> - All common areas must be </w:t>
      </w:r>
      <w:r>
        <w:t>maintained</w:t>
      </w:r>
      <w:r w:rsidR="00637997">
        <w:t xml:space="preserve"> in a manner that provides for social distancing (see Section II</w:t>
      </w:r>
      <w:r w:rsidR="00EE0E4B">
        <w:t>I</w:t>
      </w:r>
      <w:r w:rsidR="00637997">
        <w:t xml:space="preserve"> above) and safe hygiene</w:t>
      </w:r>
      <w:r w:rsidR="00A01A0D">
        <w:t xml:space="preserve"> practices</w:t>
      </w:r>
      <w:r w:rsidR="00637997">
        <w:t>.</w:t>
      </w:r>
    </w:p>
    <w:p w:rsidR="00304186" w:rsidRDefault="00637997" w:rsidP="00315577">
      <w:pPr>
        <w:pStyle w:val="ListParagraph"/>
        <w:numPr>
          <w:ilvl w:val="1"/>
          <w:numId w:val="19"/>
        </w:numPr>
        <w:tabs>
          <w:tab w:val="left" w:pos="3600"/>
        </w:tabs>
        <w:ind w:left="1800"/>
      </w:pPr>
      <w:r>
        <w:t xml:space="preserve">Elevators </w:t>
      </w:r>
      <w:r w:rsidR="00EE0E4B">
        <w:t>–</w:t>
      </w:r>
      <w:r>
        <w:t xml:space="preserve"> </w:t>
      </w:r>
      <w:r w:rsidR="00EE0E4B">
        <w:t>Generally, n</w:t>
      </w:r>
      <w:r>
        <w:t xml:space="preserve">o more than </w:t>
      </w:r>
      <w:r w:rsidR="003A31E3">
        <w:t>four</w:t>
      </w:r>
      <w:r>
        <w:t xml:space="preserve"> individuals may be in an elevator at one time;</w:t>
      </w:r>
      <w:r w:rsidR="00C00B78">
        <w:rPr>
          <w:rStyle w:val="FootnoteReference"/>
        </w:rPr>
        <w:footnoteReference w:id="5"/>
      </w:r>
      <w:r>
        <w:t xml:space="preserve"> individuals must wear masks on elevators.</w:t>
      </w:r>
    </w:p>
    <w:p w:rsidR="00304186" w:rsidRDefault="00637997" w:rsidP="00315577">
      <w:pPr>
        <w:pStyle w:val="ListParagraph"/>
        <w:numPr>
          <w:ilvl w:val="1"/>
          <w:numId w:val="19"/>
        </w:numPr>
        <w:tabs>
          <w:tab w:val="left" w:pos="3600"/>
        </w:tabs>
        <w:ind w:left="1800"/>
      </w:pPr>
      <w:r>
        <w:t xml:space="preserve">Seating Areas - Seating at tables and benches is </w:t>
      </w:r>
      <w:r w:rsidR="00C00B78">
        <w:t xml:space="preserve">generally </w:t>
      </w:r>
      <w:r>
        <w:t>limited to one person per 6 feet.</w:t>
      </w:r>
      <w:r w:rsidR="00C00B78">
        <w:rPr>
          <w:rStyle w:val="FootnoteReference"/>
        </w:rPr>
        <w:footnoteReference w:id="6"/>
      </w:r>
    </w:p>
    <w:p w:rsidR="00304186" w:rsidRDefault="00637997" w:rsidP="00315577">
      <w:pPr>
        <w:pStyle w:val="ListParagraph"/>
        <w:numPr>
          <w:ilvl w:val="1"/>
          <w:numId w:val="19"/>
        </w:numPr>
        <w:tabs>
          <w:tab w:val="left" w:pos="3600"/>
        </w:tabs>
        <w:ind w:left="1800"/>
      </w:pPr>
      <w:r>
        <w:t>Restrooms - Restroom facilities should not be used when social distancing cannot be maintained.</w:t>
      </w:r>
    </w:p>
    <w:p w:rsidR="00304186" w:rsidRDefault="00637997" w:rsidP="00315577">
      <w:pPr>
        <w:pStyle w:val="ListParagraph"/>
        <w:numPr>
          <w:ilvl w:val="1"/>
          <w:numId w:val="19"/>
        </w:numPr>
        <w:tabs>
          <w:tab w:val="left" w:pos="3600"/>
        </w:tabs>
        <w:ind w:left="1800"/>
      </w:pPr>
      <w:r>
        <w:t xml:space="preserve">Cleaning - Sanitization protocols must be in place </w:t>
      </w:r>
      <w:r w:rsidR="00CB01F2">
        <w:t>for</w:t>
      </w:r>
      <w:r>
        <w:t xml:space="preserve"> all departments</w:t>
      </w:r>
      <w:r w:rsidR="00CB01F2">
        <w:t xml:space="preserve"> and areas</w:t>
      </w:r>
      <w:r>
        <w:t xml:space="preserve"> and must include, at a minimum, the items in Section VI below.</w:t>
      </w:r>
    </w:p>
    <w:p w:rsidR="00304186" w:rsidRDefault="00637997" w:rsidP="00315577">
      <w:pPr>
        <w:pStyle w:val="ListParagraph"/>
        <w:numPr>
          <w:ilvl w:val="1"/>
          <w:numId w:val="19"/>
        </w:numPr>
        <w:tabs>
          <w:tab w:val="left" w:pos="3600"/>
        </w:tabs>
        <w:ind w:left="1800"/>
      </w:pPr>
      <w:r>
        <w:t xml:space="preserve">Hygiene - Hand sanitizer should be made available if soap and water are not readily available in the area. </w:t>
      </w:r>
    </w:p>
    <w:p w:rsidR="00D47871" w:rsidRDefault="00D063C0" w:rsidP="00315577">
      <w:pPr>
        <w:pStyle w:val="ListParagraph"/>
        <w:numPr>
          <w:ilvl w:val="1"/>
          <w:numId w:val="19"/>
        </w:numPr>
        <w:tabs>
          <w:tab w:val="left" w:pos="3600"/>
        </w:tabs>
        <w:ind w:left="1800"/>
      </w:pPr>
      <w:r>
        <w:t xml:space="preserve">Drinking Fountains </w:t>
      </w:r>
      <w:r w:rsidR="00135416">
        <w:t>-</w:t>
      </w:r>
      <w:r>
        <w:t xml:space="preserve"> Use of</w:t>
      </w:r>
      <w:r w:rsidR="00637997">
        <w:t xml:space="preserve"> drinking fountains</w:t>
      </w:r>
      <w:r>
        <w:t xml:space="preserve"> that are not touch-free should be discouraged</w:t>
      </w:r>
      <w:r w:rsidR="00637997">
        <w:t>.</w:t>
      </w:r>
    </w:p>
    <w:p w:rsidR="0039397F" w:rsidRDefault="00637997" w:rsidP="00913883">
      <w:pPr>
        <w:pStyle w:val="ListParagraph"/>
        <w:numPr>
          <w:ilvl w:val="0"/>
          <w:numId w:val="19"/>
        </w:numPr>
        <w:tabs>
          <w:tab w:val="left" w:pos="3600"/>
        </w:tabs>
        <w:spacing w:before="240"/>
        <w:ind w:left="1080"/>
      </w:pPr>
      <w:r w:rsidRPr="00D47871">
        <w:rPr>
          <w:u w:val="single"/>
        </w:rPr>
        <w:t>Signage</w:t>
      </w:r>
      <w:r>
        <w:t xml:space="preserve"> - University Operations personnel will place signs in common areas that address the requirements in</w:t>
      </w:r>
      <w:r w:rsidR="007247D0">
        <w:t xml:space="preserve"> Sections</w:t>
      </w:r>
      <w:r>
        <w:t xml:space="preserve"> III</w:t>
      </w:r>
      <w:r w:rsidR="007247D0">
        <w:t>, IV, and V</w:t>
      </w:r>
      <w:r>
        <w:t>, as appropriate. D</w:t>
      </w:r>
      <w:r w:rsidR="005E509D">
        <w:t xml:space="preserve">epartments and areas can </w:t>
      </w:r>
      <w:r w:rsidR="00167F67">
        <w:t xml:space="preserve">obtain </w:t>
      </w:r>
      <w:r w:rsidR="00EE0E4B">
        <w:t xml:space="preserve">additional </w:t>
      </w:r>
      <w:r w:rsidR="00EA7BAB">
        <w:t>copies of these signs from</w:t>
      </w:r>
      <w:r>
        <w:t xml:space="preserve"> </w:t>
      </w:r>
      <w:r w:rsidR="00167F67">
        <w:t>University Operations</w:t>
      </w:r>
      <w:r w:rsidR="00941A9F">
        <w:t xml:space="preserve"> </w:t>
      </w:r>
      <w:r w:rsidR="00941A9F" w:rsidRPr="00BC4D30">
        <w:t xml:space="preserve">or from </w:t>
      </w:r>
      <w:r w:rsidR="00941A9F" w:rsidRPr="003349C3">
        <w:t xml:space="preserve">this </w:t>
      </w:r>
      <w:hyperlink r:id="rId17" w:history="1">
        <w:r w:rsidR="00941A9F" w:rsidRPr="003349C3">
          <w:rPr>
            <w:rStyle w:val="Hyperlink"/>
          </w:rPr>
          <w:t>folder</w:t>
        </w:r>
      </w:hyperlink>
      <w:r w:rsidR="00167F67">
        <w:t xml:space="preserve">. </w:t>
      </w:r>
    </w:p>
    <w:p w:rsidR="0003259E" w:rsidRPr="00F52DAA" w:rsidRDefault="0003259E" w:rsidP="0003259E">
      <w:pPr>
        <w:pStyle w:val="ListParagraph"/>
        <w:tabs>
          <w:tab w:val="left" w:pos="3600"/>
        </w:tabs>
        <w:spacing w:before="240"/>
        <w:ind w:left="1080"/>
      </w:pPr>
    </w:p>
    <w:p w:rsidR="00637997" w:rsidRPr="0003259E" w:rsidRDefault="00637997" w:rsidP="0003259E">
      <w:pPr>
        <w:pStyle w:val="ListParagraph"/>
        <w:numPr>
          <w:ilvl w:val="0"/>
          <w:numId w:val="20"/>
        </w:numPr>
        <w:spacing w:before="240" w:after="0"/>
        <w:ind w:left="720"/>
        <w:rPr>
          <w:b/>
        </w:rPr>
      </w:pPr>
      <w:r w:rsidRPr="0003259E">
        <w:rPr>
          <w:b/>
        </w:rPr>
        <w:t>Sanitizing Facilities and Equipment</w:t>
      </w:r>
    </w:p>
    <w:p w:rsidR="003662AB" w:rsidRPr="003662AB" w:rsidRDefault="003662AB" w:rsidP="00315577">
      <w:pPr>
        <w:ind w:left="720"/>
        <w:contextualSpacing/>
      </w:pPr>
      <w:r>
        <w:t>Clean facilities and equipment require a commitment from all levels of the University community. Everyone has an important role and responsibility in maintaining a healthy work environment.</w:t>
      </w:r>
    </w:p>
    <w:p w:rsidR="002440C6" w:rsidRDefault="00637997" w:rsidP="00ED3C85">
      <w:pPr>
        <w:pStyle w:val="ListParagraph"/>
        <w:numPr>
          <w:ilvl w:val="0"/>
          <w:numId w:val="9"/>
        </w:numPr>
        <w:ind w:left="1080"/>
      </w:pPr>
      <w:r w:rsidRPr="002D6C08">
        <w:rPr>
          <w:u w:val="single"/>
        </w:rPr>
        <w:t>University Responsibility</w:t>
      </w:r>
      <w:r w:rsidR="00135416">
        <w:t xml:space="preserve"> -</w:t>
      </w:r>
      <w:r>
        <w:t xml:space="preserve"> The University will provide increased cleaning and sanitizing of frequently used facilities and common areas, including elevators, restrooms, classrooms</w:t>
      </w:r>
      <w:r w:rsidR="00D622AD">
        <w:t>/lecture halls</w:t>
      </w:r>
      <w:r>
        <w:t>, and other high</w:t>
      </w:r>
      <w:r w:rsidR="00135416">
        <w:t>-</w:t>
      </w:r>
      <w:r>
        <w:t xml:space="preserve">traffic spaces with the use of BPA-approved cleaners that meet </w:t>
      </w:r>
      <w:hyperlink r:id="rId18" w:history="1">
        <w:r w:rsidRPr="004424E3">
          <w:rPr>
            <w:rStyle w:val="Hyperlink"/>
          </w:rPr>
          <w:t>CDC guidelines for disinfecting COVID-19</w:t>
        </w:r>
      </w:hyperlink>
      <w:r>
        <w:t>.</w:t>
      </w:r>
      <w:r w:rsidR="00A01A0D">
        <w:t xml:space="preserve"> For high</w:t>
      </w:r>
      <w:r w:rsidR="00135416">
        <w:t>-</w:t>
      </w:r>
      <w:r w:rsidR="00A01A0D">
        <w:t xml:space="preserve">traffic areas within facilities, the University will also provide, when possible, </w:t>
      </w:r>
      <w:r>
        <w:t>no-touch dis</w:t>
      </w:r>
      <w:r w:rsidR="00A01A0D">
        <w:t>posal receptacles</w:t>
      </w:r>
      <w:r>
        <w:t xml:space="preserve">, </w:t>
      </w:r>
      <w:r>
        <w:lastRenderedPageBreak/>
        <w:t xml:space="preserve">increased placement of hand sanitizers, </w:t>
      </w:r>
      <w:r w:rsidR="00A07792">
        <w:t xml:space="preserve">MERV -13 filters, </w:t>
      </w:r>
      <w:r>
        <w:t xml:space="preserve">and installation </w:t>
      </w:r>
      <w:r w:rsidR="00A01A0D">
        <w:t xml:space="preserve">of </w:t>
      </w:r>
      <w:r w:rsidR="00A56691">
        <w:t xml:space="preserve">additional </w:t>
      </w:r>
      <w:r w:rsidR="00A01A0D">
        <w:t>University</w:t>
      </w:r>
      <w:r>
        <w:t xml:space="preserve"> signs</w:t>
      </w:r>
      <w:r w:rsidR="00A01A0D">
        <w:t xml:space="preserve"> encouraging good</w:t>
      </w:r>
      <w:r w:rsidR="00A56691">
        <w:t xml:space="preserve"> hygiene</w:t>
      </w:r>
      <w:r>
        <w:t>.</w:t>
      </w:r>
    </w:p>
    <w:p w:rsidR="00637997" w:rsidRDefault="00637997" w:rsidP="00ED3C85">
      <w:pPr>
        <w:pStyle w:val="ListParagraph"/>
        <w:numPr>
          <w:ilvl w:val="0"/>
          <w:numId w:val="9"/>
        </w:numPr>
        <w:ind w:left="1080"/>
      </w:pPr>
      <w:r w:rsidRPr="002D6C08">
        <w:rPr>
          <w:u w:val="single"/>
        </w:rPr>
        <w:t>Department/Area Responsibility</w:t>
      </w:r>
      <w:r>
        <w:t xml:space="preserve"> </w:t>
      </w:r>
      <w:r w:rsidR="007247D0">
        <w:t>–</w:t>
      </w:r>
      <w:r>
        <w:t xml:space="preserve"> </w:t>
      </w:r>
      <w:r w:rsidR="007247D0">
        <w:t>As was the case prior to COVID-19, e</w:t>
      </w:r>
      <w:r>
        <w:t xml:space="preserve">ach department/area manager remains responsible for </w:t>
      </w:r>
      <w:hyperlink r:id="rId19" w:history="1">
        <w:r w:rsidR="005E156F" w:rsidRPr="006A4DCD">
          <w:rPr>
            <w:rStyle w:val="Hyperlink"/>
          </w:rPr>
          <w:t>obtaining appropriate cleaning supplies</w:t>
        </w:r>
      </w:hyperlink>
      <w:r w:rsidR="005E156F">
        <w:t xml:space="preserve"> </w:t>
      </w:r>
      <w:r w:rsidR="00063060">
        <w:t xml:space="preserve">and </w:t>
      </w:r>
      <w:r>
        <w:t xml:space="preserve">providing for the cleaning </w:t>
      </w:r>
      <w:proofErr w:type="gramStart"/>
      <w:r>
        <w:t>of  shared</w:t>
      </w:r>
      <w:proofErr w:type="gramEnd"/>
      <w:r>
        <w:t xml:space="preserve"> </w:t>
      </w:r>
      <w:r w:rsidR="00CA25EE">
        <w:t>office equipment, furniture,</w:t>
      </w:r>
      <w:r>
        <w:t xml:space="preserve"> surfaces</w:t>
      </w:r>
      <w:r w:rsidR="00CA25EE">
        <w:t>, and environment</w:t>
      </w:r>
      <w:r>
        <w:t xml:space="preserve">. </w:t>
      </w:r>
      <w:r w:rsidR="007247D0">
        <w:t>Note these specific responsibilities related to cleaning, however:</w:t>
      </w:r>
    </w:p>
    <w:p w:rsidR="00637997" w:rsidRDefault="00637997" w:rsidP="00315577">
      <w:pPr>
        <w:pStyle w:val="ListParagraph"/>
        <w:numPr>
          <w:ilvl w:val="1"/>
          <w:numId w:val="9"/>
        </w:numPr>
        <w:ind w:left="1800"/>
      </w:pPr>
      <w:r>
        <w:t>Office Electronics –Cleaning instructions for many types of common in-office computers and peripheral devices, including University-owned equipment for individual use as well as shared-use equipment</w:t>
      </w:r>
      <w:r w:rsidR="00B81EC5">
        <w:t xml:space="preserve">, are available </w:t>
      </w:r>
      <w:r>
        <w:t xml:space="preserve">here: </w:t>
      </w:r>
      <w:hyperlink r:id="rId20" w:history="1">
        <w:r w:rsidRPr="00A609A7">
          <w:rPr>
            <w:rStyle w:val="Hyperlink"/>
            <w:rFonts w:ascii="Calibri" w:eastAsia="Times New Roman" w:hAnsi="Calibri" w:cs="Calibri"/>
          </w:rPr>
          <w:t>http://www.ou.edu/ouit/workanywhere/get-started/equipment-sanitization</w:t>
        </w:r>
      </w:hyperlink>
      <w:r w:rsidRPr="00A609A7">
        <w:rPr>
          <w:rStyle w:val="Hyperlink"/>
          <w:rFonts w:ascii="Calibri" w:eastAsia="Times New Roman" w:hAnsi="Calibri" w:cs="Calibri"/>
        </w:rPr>
        <w:t>.</w:t>
      </w:r>
      <w:r w:rsidRPr="00A609A7">
        <w:rPr>
          <w:rFonts w:ascii="Calibri" w:eastAsia="Times New Roman" w:hAnsi="Calibri" w:cs="Calibri"/>
          <w:color w:val="000000"/>
        </w:rPr>
        <w:t xml:space="preserve"> </w:t>
      </w:r>
      <w:r>
        <w:t>For equipment not listed on the webpage above, individuals should refer to the manufacturer’s recommended instructions or contact their local IT support personnel.</w:t>
      </w:r>
    </w:p>
    <w:p w:rsidR="00CA25EE" w:rsidRDefault="00AC23E7" w:rsidP="00AC23E7">
      <w:pPr>
        <w:pStyle w:val="ListParagraph"/>
        <w:numPr>
          <w:ilvl w:val="1"/>
          <w:numId w:val="9"/>
        </w:numPr>
        <w:ind w:left="1800"/>
      </w:pPr>
      <w:r w:rsidRPr="00AC23E7">
        <w:t xml:space="preserve">COVID-19 Positive Individuals - Department/area managers must contact General Services (405-271-2311 or 918-660-3555) for OUHSC- operated buildings or </w:t>
      </w:r>
      <w:proofErr w:type="spellStart"/>
      <w:r w:rsidRPr="00AC23E7">
        <w:t>OneCall</w:t>
      </w:r>
      <w:proofErr w:type="spellEnd"/>
      <w:r w:rsidRPr="00AC23E7">
        <w:t xml:space="preserve"> (405-271-2252) for UHAT-operated buildings and the Environmental Health and Safety Office (EHSO) (405-271-3000 or 918-660-3878) for disinfecting assistance when made aware of an individual who has tested positive, if the individual had been on campus in the past 7 days. The supervisor should close off areas that the individual visited and open outside doors and windows, if possible, to increase air circulation in the area until it can be assessed by General Services/</w:t>
      </w:r>
      <w:proofErr w:type="spellStart"/>
      <w:r w:rsidRPr="00AC23E7">
        <w:t>OneCall</w:t>
      </w:r>
      <w:proofErr w:type="spellEnd"/>
      <w:r w:rsidRPr="00AC23E7">
        <w:t xml:space="preserve"> and EHSO.</w:t>
      </w:r>
      <w:r w:rsidR="00CA25EE">
        <w:t xml:space="preserve"> </w:t>
      </w:r>
    </w:p>
    <w:p w:rsidR="00657CDD" w:rsidRDefault="00CA25EE" w:rsidP="00315577">
      <w:pPr>
        <w:pStyle w:val="ListParagraph"/>
        <w:numPr>
          <w:ilvl w:val="1"/>
          <w:numId w:val="9"/>
        </w:numPr>
        <w:ind w:left="1800"/>
      </w:pPr>
      <w:r>
        <w:t xml:space="preserve">Environment - </w:t>
      </w:r>
      <w:r w:rsidR="00063060">
        <w:t xml:space="preserve">Increased ventilation (open doors, for example) and purchase and use of portable HEPA filters when possible, should be considered. </w:t>
      </w:r>
    </w:p>
    <w:p w:rsidR="00637997" w:rsidRDefault="00637997" w:rsidP="00B16825">
      <w:pPr>
        <w:pStyle w:val="ListParagraph"/>
        <w:numPr>
          <w:ilvl w:val="0"/>
          <w:numId w:val="9"/>
        </w:numPr>
        <w:tabs>
          <w:tab w:val="left" w:pos="1170"/>
        </w:tabs>
        <w:ind w:left="1080"/>
      </w:pPr>
      <w:r w:rsidRPr="00657CDD">
        <w:rPr>
          <w:u w:val="single"/>
        </w:rPr>
        <w:t>Individual Responsibility</w:t>
      </w:r>
      <w:r w:rsidR="00716508">
        <w:t xml:space="preserve"> </w:t>
      </w:r>
      <w:r w:rsidR="007247D0">
        <w:t>–</w:t>
      </w:r>
      <w:r>
        <w:t xml:space="preserve"> </w:t>
      </w:r>
      <w:r w:rsidR="007247D0">
        <w:t>As was the case prior to COVID-19, i</w:t>
      </w:r>
      <w:r>
        <w:t>ndividuals are responsible for cleaning their personal and shared spaces and office equipment.</w:t>
      </w:r>
    </w:p>
    <w:p w:rsidR="00637997" w:rsidRDefault="00637997" w:rsidP="00315577">
      <w:pPr>
        <w:pStyle w:val="ListParagraph"/>
        <w:numPr>
          <w:ilvl w:val="4"/>
          <w:numId w:val="9"/>
        </w:numPr>
        <w:ind w:left="1800"/>
      </w:pPr>
      <w:r>
        <w:t xml:space="preserve">Workspace - Individuals are encouraged to disinfect their individual workspaces (desk, phone, keyboard, etc.) daily.  </w:t>
      </w:r>
    </w:p>
    <w:p w:rsidR="00637997" w:rsidRDefault="00637997" w:rsidP="00315577">
      <w:pPr>
        <w:pStyle w:val="ListParagraph"/>
        <w:numPr>
          <w:ilvl w:val="4"/>
          <w:numId w:val="9"/>
        </w:numPr>
        <w:ind w:left="1800"/>
      </w:pPr>
      <w:r>
        <w:t xml:space="preserve">Equipment from Home - Individuals bringing electronic equipment to University buildings from off-campus locations must first clean all equipment following the instructions </w:t>
      </w:r>
      <w:r w:rsidR="00063060">
        <w:t xml:space="preserve">in Section </w:t>
      </w:r>
      <w:r w:rsidR="007247D0">
        <w:t>V</w:t>
      </w:r>
      <w:r w:rsidR="001B46E7">
        <w:t>I</w:t>
      </w:r>
      <w:r w:rsidR="00063060">
        <w:t xml:space="preserve">.B.1 </w:t>
      </w:r>
      <w:r>
        <w:t>above.</w:t>
      </w:r>
    </w:p>
    <w:p w:rsidR="00637997" w:rsidRDefault="00637997" w:rsidP="00315577">
      <w:pPr>
        <w:pStyle w:val="ListParagraph"/>
        <w:numPr>
          <w:ilvl w:val="4"/>
          <w:numId w:val="9"/>
        </w:numPr>
        <w:ind w:left="1800"/>
      </w:pPr>
      <w:r>
        <w:t>Shared Items - Individuals must avoid using others</w:t>
      </w:r>
      <w:r w:rsidR="001B46E7">
        <w:t>’</w:t>
      </w:r>
      <w:r>
        <w:t xml:space="preserve"> phones, desks, offices, computers, work tools, etc., when possible. Individuals using shared office items, such as copiers, must clean and disinfect the item</w:t>
      </w:r>
      <w:r w:rsidR="007247D0">
        <w:t>s</w:t>
      </w:r>
      <w:r>
        <w:t xml:space="preserve"> before and after use. </w:t>
      </w:r>
    </w:p>
    <w:p w:rsidR="0003259E" w:rsidRDefault="00637997" w:rsidP="0003259E">
      <w:pPr>
        <w:pStyle w:val="ListParagraph"/>
        <w:numPr>
          <w:ilvl w:val="4"/>
          <w:numId w:val="9"/>
        </w:numPr>
        <w:spacing w:before="240"/>
        <w:ind w:left="1800"/>
      </w:pPr>
      <w:r>
        <w:t>Food Preparation - Individuals may prepare food in common areas</w:t>
      </w:r>
      <w:r w:rsidR="003833A1">
        <w:t>,</w:t>
      </w:r>
      <w:r>
        <w:t xml:space="preserve"> only one person at a time and mu</w:t>
      </w:r>
      <w:r w:rsidR="00063060">
        <w:t xml:space="preserve">st </w:t>
      </w:r>
      <w:r w:rsidR="00D622AD">
        <w:t>clean</w:t>
      </w:r>
      <w:r w:rsidR="00063060">
        <w:t xml:space="preserve"> the area after their</w:t>
      </w:r>
      <w:r>
        <w:t xml:space="preserve"> use.</w:t>
      </w:r>
    </w:p>
    <w:p w:rsidR="00B16825" w:rsidRDefault="00B16825" w:rsidP="00B16825">
      <w:pPr>
        <w:pStyle w:val="ListParagraph"/>
        <w:spacing w:before="240"/>
        <w:ind w:left="1800"/>
      </w:pPr>
    </w:p>
    <w:p w:rsidR="00D87A98" w:rsidRPr="0003259E" w:rsidRDefault="004413F9" w:rsidP="00B16825">
      <w:pPr>
        <w:pStyle w:val="ListParagraph"/>
        <w:numPr>
          <w:ilvl w:val="0"/>
          <w:numId w:val="20"/>
        </w:numPr>
        <w:tabs>
          <w:tab w:val="left" w:pos="720"/>
          <w:tab w:val="left" w:pos="990"/>
        </w:tabs>
        <w:spacing w:before="240"/>
        <w:ind w:left="720"/>
      </w:pPr>
      <w:r w:rsidRPr="0003259E">
        <w:rPr>
          <w:b/>
        </w:rPr>
        <w:t xml:space="preserve">Testing, </w:t>
      </w:r>
      <w:r w:rsidR="0039273A" w:rsidRPr="0003259E">
        <w:rPr>
          <w:b/>
        </w:rPr>
        <w:t>I</w:t>
      </w:r>
      <w:r w:rsidRPr="0003259E">
        <w:rPr>
          <w:b/>
        </w:rPr>
        <w:t xml:space="preserve">solation, and </w:t>
      </w:r>
      <w:r w:rsidR="0039273A" w:rsidRPr="0003259E">
        <w:rPr>
          <w:b/>
        </w:rPr>
        <w:t>C</w:t>
      </w:r>
      <w:r w:rsidRPr="0003259E">
        <w:rPr>
          <w:b/>
        </w:rPr>
        <w:t xml:space="preserve">ontact </w:t>
      </w:r>
      <w:r w:rsidR="00085E4A" w:rsidRPr="0003259E">
        <w:rPr>
          <w:b/>
        </w:rPr>
        <w:t>T</w:t>
      </w:r>
      <w:r w:rsidRPr="0003259E">
        <w:rPr>
          <w:b/>
        </w:rPr>
        <w:t>racing</w:t>
      </w:r>
      <w:r w:rsidR="00B76586" w:rsidRPr="0003259E">
        <w:rPr>
          <w:b/>
        </w:rPr>
        <w:t xml:space="preserve"> </w:t>
      </w:r>
    </w:p>
    <w:p w:rsidR="00AF0B60" w:rsidRPr="00D87A98" w:rsidRDefault="005C71B1" w:rsidP="00B16825">
      <w:pPr>
        <w:pStyle w:val="ListParagraph"/>
        <w:numPr>
          <w:ilvl w:val="0"/>
          <w:numId w:val="32"/>
        </w:numPr>
        <w:spacing w:after="0"/>
        <w:ind w:left="1080"/>
        <w:rPr>
          <w:b/>
        </w:rPr>
      </w:pPr>
      <w:r w:rsidRPr="00D87A98">
        <w:rPr>
          <w:u w:val="single"/>
        </w:rPr>
        <w:t>Positive Tests</w:t>
      </w:r>
      <w:r>
        <w:t xml:space="preserve"> - </w:t>
      </w:r>
      <w:r w:rsidR="005C6BC6">
        <w:t>I</w:t>
      </w:r>
      <w:r w:rsidR="00E422F9">
        <w:t xml:space="preserve">f an employee </w:t>
      </w:r>
      <w:r w:rsidR="005C6BC6">
        <w:t xml:space="preserve">or student </w:t>
      </w:r>
      <w:r w:rsidR="00E422F9">
        <w:t>tests positive for</w:t>
      </w:r>
      <w:r w:rsidR="005C6BC6">
        <w:t xml:space="preserve"> COVID</w:t>
      </w:r>
      <w:r w:rsidR="00DB4866">
        <w:t>-</w:t>
      </w:r>
      <w:r w:rsidR="005C6BC6">
        <w:t xml:space="preserve">19, </w:t>
      </w:r>
      <w:r w:rsidR="00B54F1E">
        <w:t>the</w:t>
      </w:r>
      <w:r w:rsidR="001B46E7">
        <w:t>y and the</w:t>
      </w:r>
      <w:r w:rsidR="00B54F1E">
        <w:t xml:space="preserve"> University will cooperate with the appropriate health department in its contact tracing efforts</w:t>
      </w:r>
      <w:r w:rsidR="002F3FA0">
        <w:t>.</w:t>
      </w:r>
      <w:r w:rsidR="00AF0B60">
        <w:t xml:space="preserve"> </w:t>
      </w:r>
    </w:p>
    <w:p w:rsidR="003C11C1" w:rsidRDefault="003C11C1" w:rsidP="00C44B97">
      <w:pPr>
        <w:pStyle w:val="ListParagraph"/>
        <w:numPr>
          <w:ilvl w:val="0"/>
          <w:numId w:val="24"/>
        </w:numPr>
        <w:ind w:left="1800"/>
      </w:pPr>
      <w:r>
        <w:t xml:space="preserve">Supervisors who are made aware that an individual in their area has tested positive </w:t>
      </w:r>
      <w:r w:rsidR="00A41F4C">
        <w:t xml:space="preserve">    </w:t>
      </w:r>
      <w:r>
        <w:t xml:space="preserve">must contact General Services </w:t>
      </w:r>
      <w:r w:rsidR="00ED1217">
        <w:t>and EHSO as described in Section VI.B.2 above</w:t>
      </w:r>
      <w:r>
        <w:t xml:space="preserve"> for disinfecting assistance, if the individual was </w:t>
      </w:r>
      <w:r w:rsidR="00ED1217">
        <w:t>on campus</w:t>
      </w:r>
      <w:r w:rsidR="001B46E7">
        <w:t xml:space="preserve"> in the past 7 days</w:t>
      </w:r>
      <w:r>
        <w:t>.</w:t>
      </w:r>
    </w:p>
    <w:p w:rsidR="00315577" w:rsidRPr="00315577" w:rsidRDefault="00914FE5" w:rsidP="00315577">
      <w:pPr>
        <w:pStyle w:val="ListParagraph"/>
        <w:numPr>
          <w:ilvl w:val="0"/>
          <w:numId w:val="24"/>
        </w:numPr>
        <w:ind w:left="1800"/>
        <w:rPr>
          <w:rStyle w:val="Hyperlink"/>
          <w:color w:val="auto"/>
          <w:u w:val="none"/>
        </w:rPr>
      </w:pPr>
      <w:r>
        <w:lastRenderedPageBreak/>
        <w:t xml:space="preserve">All employees </w:t>
      </w:r>
      <w:r w:rsidR="00424883">
        <w:t xml:space="preserve">and students </w:t>
      </w:r>
      <w:r>
        <w:t xml:space="preserve">who have </w:t>
      </w:r>
      <w:r w:rsidR="00385078">
        <w:t>received a positive COVID-19 laboratory</w:t>
      </w:r>
      <w:r>
        <w:t xml:space="preserve"> </w:t>
      </w:r>
      <w:r w:rsidR="00385078">
        <w:t>test</w:t>
      </w:r>
      <w:r w:rsidR="00ED1217">
        <w:t xml:space="preserve"> </w:t>
      </w:r>
      <w:r w:rsidR="00802E6B">
        <w:t xml:space="preserve">must obtain </w:t>
      </w:r>
      <w:r>
        <w:t>clearance from the Student</w:t>
      </w:r>
      <w:r w:rsidR="001B46E7">
        <w:t xml:space="preserve"> &amp; </w:t>
      </w:r>
      <w:r>
        <w:t xml:space="preserve">Employee Health before returning to </w:t>
      </w:r>
      <w:r w:rsidR="00DA55B3">
        <w:t>on-campus</w:t>
      </w:r>
      <w:r w:rsidR="00A76BFE">
        <w:t xml:space="preserve"> </w:t>
      </w:r>
      <w:r w:rsidR="00385078">
        <w:t>University responsibilities</w:t>
      </w:r>
      <w:r w:rsidR="005A3DEC">
        <w:t xml:space="preserve"> via </w:t>
      </w:r>
      <w:r w:rsidR="005A3DEC" w:rsidRPr="003349C3">
        <w:t>the COVID-19 S</w:t>
      </w:r>
      <w:r w:rsidR="006870BF" w:rsidRPr="003349C3">
        <w:t xml:space="preserve">creening </w:t>
      </w:r>
      <w:r w:rsidR="005A3DEC" w:rsidRPr="003349C3">
        <w:t xml:space="preserve">and Reporting </w:t>
      </w:r>
      <w:r w:rsidR="00424883" w:rsidRPr="003349C3">
        <w:t>Tool</w:t>
      </w:r>
      <w:r w:rsidR="006870BF">
        <w:t xml:space="preserve"> </w:t>
      </w:r>
      <w:hyperlink r:id="rId21" w:history="1">
        <w:r w:rsidR="006870BF">
          <w:rPr>
            <w:rStyle w:val="Hyperlink"/>
          </w:rPr>
          <w:t>https://covidreporting.ouhsc.edu/</w:t>
        </w:r>
      </w:hyperlink>
      <w:r w:rsidR="00ED1217">
        <w:rPr>
          <w:rStyle w:val="Hyperlink"/>
        </w:rPr>
        <w:t>.</w:t>
      </w:r>
      <w:r w:rsidR="006870BF">
        <w:rPr>
          <w:rStyle w:val="Hyperlink"/>
        </w:rPr>
        <w:t xml:space="preserve">  </w:t>
      </w:r>
    </w:p>
    <w:p w:rsidR="0003259E" w:rsidRDefault="00802E6B" w:rsidP="00B16825">
      <w:pPr>
        <w:pStyle w:val="ListParagraph"/>
        <w:numPr>
          <w:ilvl w:val="0"/>
          <w:numId w:val="32"/>
        </w:numPr>
        <w:spacing w:before="240"/>
        <w:ind w:left="1080"/>
      </w:pPr>
      <w:r w:rsidRPr="00315577">
        <w:rPr>
          <w:u w:val="single"/>
        </w:rPr>
        <w:t>Confirmed Exposures</w:t>
      </w:r>
      <w:r>
        <w:t xml:space="preserve"> - Employees and students who were exposed to a laboratory-confirmed COVID-19 positive individual are expected to notify the Student</w:t>
      </w:r>
      <w:r w:rsidR="001B46E7">
        <w:t xml:space="preserve">&amp; </w:t>
      </w:r>
      <w:r>
        <w:t xml:space="preserve">Employee Health Clinic </w:t>
      </w:r>
      <w:r w:rsidR="006870BF">
        <w:t xml:space="preserve">via the </w:t>
      </w:r>
      <w:r w:rsidR="00941A9F" w:rsidRPr="003349C3">
        <w:t>COVID-19 Screening and Reporting Tool</w:t>
      </w:r>
      <w:r w:rsidR="006870BF">
        <w:t xml:space="preserve"> </w:t>
      </w:r>
      <w:hyperlink r:id="rId22" w:history="1">
        <w:r w:rsidR="006870BF">
          <w:rPr>
            <w:rStyle w:val="Hyperlink"/>
          </w:rPr>
          <w:t>https://covidreporting.ouhsc.edu/</w:t>
        </w:r>
      </w:hyperlink>
      <w:r w:rsidR="006870BF">
        <w:rPr>
          <w:rStyle w:val="Hyperlink"/>
        </w:rPr>
        <w:t xml:space="preserve"> </w:t>
      </w:r>
      <w:r>
        <w:t xml:space="preserve">and to follow the direction provided by the Clinic and by the health department involved (if any). That direction may require certain actions, such as to </w:t>
      </w:r>
      <w:r w:rsidR="00EB5A35">
        <w:t xml:space="preserve">remain </w:t>
      </w:r>
      <w:r>
        <w:t>away from University property</w:t>
      </w:r>
      <w:r>
        <w:rPr>
          <w:rStyle w:val="FootnoteReference"/>
        </w:rPr>
        <w:footnoteReference w:id="7"/>
      </w:r>
      <w:r>
        <w:t xml:space="preserve"> and from on- and off-campus events until approved for return by Student</w:t>
      </w:r>
      <w:r w:rsidR="001B46E7">
        <w:t xml:space="preserve">&amp; </w:t>
      </w:r>
      <w:r>
        <w:t xml:space="preserve">Employee Health.  </w:t>
      </w:r>
    </w:p>
    <w:p w:rsidR="0003259E" w:rsidRDefault="0003259E" w:rsidP="0003259E">
      <w:pPr>
        <w:pStyle w:val="ListParagraph"/>
        <w:spacing w:before="240"/>
        <w:ind w:left="1008"/>
      </w:pPr>
    </w:p>
    <w:p w:rsidR="001C54A9" w:rsidRPr="0003259E" w:rsidRDefault="00637997" w:rsidP="0003259E">
      <w:pPr>
        <w:pStyle w:val="ListParagraph"/>
        <w:numPr>
          <w:ilvl w:val="0"/>
          <w:numId w:val="20"/>
        </w:numPr>
        <w:tabs>
          <w:tab w:val="left" w:pos="1170"/>
        </w:tabs>
        <w:spacing w:before="240"/>
        <w:ind w:left="720"/>
      </w:pPr>
      <w:r w:rsidRPr="0003259E">
        <w:rPr>
          <w:b/>
        </w:rPr>
        <w:t xml:space="preserve">Monitoring </w:t>
      </w:r>
      <w:r w:rsidR="003833A1">
        <w:rPr>
          <w:b/>
        </w:rPr>
        <w:t xml:space="preserve">Employees, Students, </w:t>
      </w:r>
      <w:r w:rsidR="00D46C90" w:rsidRPr="0003259E">
        <w:rPr>
          <w:b/>
        </w:rPr>
        <w:t>and Visitors for COVID-19 Symptoms</w:t>
      </w:r>
      <w:r w:rsidR="00ED1217" w:rsidRPr="0003259E">
        <w:rPr>
          <w:b/>
        </w:rPr>
        <w:t xml:space="preserve"> -Mandatory Reporting Process</w:t>
      </w:r>
    </w:p>
    <w:p w:rsidR="00D87A98" w:rsidRPr="00D87A98" w:rsidRDefault="00F33054" w:rsidP="00B16825">
      <w:pPr>
        <w:pStyle w:val="ListParagraph"/>
        <w:numPr>
          <w:ilvl w:val="0"/>
          <w:numId w:val="38"/>
        </w:numPr>
        <w:spacing w:after="0"/>
        <w:ind w:left="1080"/>
        <w:rPr>
          <w:b/>
        </w:rPr>
      </w:pPr>
      <w:r w:rsidRPr="001C54A9">
        <w:rPr>
          <w:u w:val="single"/>
        </w:rPr>
        <w:t>Monitor</w:t>
      </w:r>
      <w:r w:rsidR="00EC5186" w:rsidRPr="001C54A9">
        <w:rPr>
          <w:u w:val="single"/>
        </w:rPr>
        <w:t>ing</w:t>
      </w:r>
      <w:r w:rsidR="00684222" w:rsidRPr="001C54A9">
        <w:rPr>
          <w:u w:val="single"/>
        </w:rPr>
        <w:t xml:space="preserve"> Employees</w:t>
      </w:r>
      <w:r w:rsidR="003833A1">
        <w:rPr>
          <w:u w:val="single"/>
        </w:rPr>
        <w:t xml:space="preserve"> and Students</w:t>
      </w:r>
      <w:r w:rsidR="00D46C90">
        <w:t xml:space="preserve"> </w:t>
      </w:r>
      <w:r w:rsidR="00716508">
        <w:t>-</w:t>
      </w:r>
      <w:r w:rsidR="00D46C90">
        <w:t xml:space="preserve"> </w:t>
      </w:r>
      <w:r w:rsidR="0042207E" w:rsidRPr="001B46E7">
        <w:t xml:space="preserve">Employees and students must complete the COVID-19 Screening and Reporting Tool at </w:t>
      </w:r>
      <w:hyperlink r:id="rId23" w:history="1">
        <w:r w:rsidR="0042207E" w:rsidRPr="001B46E7">
          <w:rPr>
            <w:rStyle w:val="Hyperlink"/>
          </w:rPr>
          <w:t>https://covidreporting.ouhsc.edu/</w:t>
        </w:r>
      </w:hyperlink>
      <w:r w:rsidR="0042207E" w:rsidRPr="001B46E7">
        <w:rPr>
          <w:rStyle w:val="Hyperlink"/>
        </w:rPr>
        <w:t xml:space="preserve"> </w:t>
      </w:r>
      <w:r w:rsidR="0042207E" w:rsidRPr="001B46E7">
        <w:t xml:space="preserve"> each time any of the following applies.   The Tool must be submitted before returning to work or academic responsibilities on campus</w:t>
      </w:r>
      <w:r w:rsidR="00A90F7C" w:rsidRPr="001B46E7">
        <w:t xml:space="preserve"> or attending University-related functions</w:t>
      </w:r>
      <w:r w:rsidR="0042207E" w:rsidRPr="001B46E7">
        <w:t xml:space="preserve">.  They will be notified via email of their screening results and will forward the email to their direct supervisor </w:t>
      </w:r>
      <w:r w:rsidR="001B46E7">
        <w:t>or</w:t>
      </w:r>
      <w:r w:rsidR="00C220ED">
        <w:t xml:space="preserve"> appropriate Student Affairs office </w:t>
      </w:r>
      <w:r w:rsidR="0042207E" w:rsidRPr="001B46E7">
        <w:t>upon receipt.</w:t>
      </w:r>
    </w:p>
    <w:p w:rsidR="008D3592" w:rsidRPr="008D3592" w:rsidRDefault="00D87A98" w:rsidP="004F5B0B">
      <w:pPr>
        <w:pStyle w:val="ListParagraph"/>
        <w:numPr>
          <w:ilvl w:val="0"/>
          <w:numId w:val="31"/>
        </w:numPr>
        <w:rPr>
          <w:b/>
        </w:rPr>
      </w:pPr>
      <w:r>
        <w:t>C</w:t>
      </w:r>
      <w:r w:rsidR="00D46C90" w:rsidRPr="005B3C3B">
        <w:t>linic employees</w:t>
      </w:r>
      <w:r w:rsidR="00D46C90">
        <w:t xml:space="preserve"> </w:t>
      </w:r>
      <w:r w:rsidR="0042207E">
        <w:t xml:space="preserve">– Clinic Employees </w:t>
      </w:r>
      <w:r w:rsidR="00D46C90">
        <w:t xml:space="preserve">must comply with the </w:t>
      </w:r>
      <w:r w:rsidR="00F33054">
        <w:t>monitoring</w:t>
      </w:r>
      <w:r w:rsidR="00D46C90">
        <w:t xml:space="preserve"> processes in place in their assigned clinics</w:t>
      </w:r>
      <w:r w:rsidR="00ED1217">
        <w:t>, if more stringent than those in item</w:t>
      </w:r>
      <w:r w:rsidR="0042207E">
        <w:t>s</w:t>
      </w:r>
      <w:r w:rsidR="00ED1217">
        <w:t xml:space="preserve"> 2-</w:t>
      </w:r>
      <w:r w:rsidR="004C6B17">
        <w:t>7</w:t>
      </w:r>
      <w:r w:rsidR="00ED1217">
        <w:t xml:space="preserve"> below</w:t>
      </w:r>
      <w:r w:rsidR="00D46C90">
        <w:t xml:space="preserve">. </w:t>
      </w:r>
      <w:r w:rsidR="00F33054">
        <w:t xml:space="preserve"> </w:t>
      </w:r>
    </w:p>
    <w:p w:rsidR="008D3592" w:rsidRPr="008D3592" w:rsidRDefault="00ED1217" w:rsidP="004F5B0B">
      <w:pPr>
        <w:pStyle w:val="ListParagraph"/>
        <w:numPr>
          <w:ilvl w:val="0"/>
          <w:numId w:val="31"/>
        </w:numPr>
        <w:rPr>
          <w:b/>
        </w:rPr>
      </w:pPr>
      <w:r>
        <w:t xml:space="preserve">Absence from Campus - </w:t>
      </w:r>
      <w:r w:rsidR="0042207E">
        <w:t>E</w:t>
      </w:r>
      <w:r w:rsidR="004B6DB6" w:rsidRPr="0042207E">
        <w:t>mployee</w:t>
      </w:r>
      <w:r w:rsidR="004B6DB6" w:rsidRPr="008D3592">
        <w:rPr>
          <w:i/>
        </w:rPr>
        <w:t>s</w:t>
      </w:r>
      <w:r w:rsidR="004B6DB6" w:rsidRPr="003349C3">
        <w:t xml:space="preserve"> </w:t>
      </w:r>
      <w:r w:rsidR="007E47BF" w:rsidRPr="003349C3">
        <w:t>who have been present on campus and then</w:t>
      </w:r>
      <w:r w:rsidR="00F33054" w:rsidRPr="003349C3">
        <w:t xml:space="preserve"> are absent for any reason for 7</w:t>
      </w:r>
      <w:r w:rsidR="007E47BF" w:rsidRPr="003349C3">
        <w:t xml:space="preserve"> or more </w:t>
      </w:r>
      <w:r w:rsidR="006E26AA" w:rsidRPr="003349C3">
        <w:t xml:space="preserve">consecutive </w:t>
      </w:r>
      <w:r w:rsidR="007E47BF" w:rsidRPr="003349C3">
        <w:t xml:space="preserve">calendar days </w:t>
      </w:r>
      <w:r w:rsidR="004B6DB6" w:rsidRPr="003349C3">
        <w:t>mu</w:t>
      </w:r>
      <w:r w:rsidR="005A3DEC" w:rsidRPr="003349C3">
        <w:t>st complete the COVID-19 Scree</w:t>
      </w:r>
      <w:r w:rsidR="00F33054" w:rsidRPr="003349C3">
        <w:t>ni</w:t>
      </w:r>
      <w:r w:rsidR="005A3DEC" w:rsidRPr="003349C3">
        <w:t xml:space="preserve">ng and Reporting </w:t>
      </w:r>
      <w:r w:rsidR="00424883" w:rsidRPr="003349C3">
        <w:t>Tool</w:t>
      </w:r>
      <w:r w:rsidR="003C77EF">
        <w:t>.</w:t>
      </w:r>
      <w:r w:rsidR="005B3C3B">
        <w:t xml:space="preserve">  Students who have been away from on-site instruction at their assigned campus location or from an on-campus clinical rotation for 7 or more consecutive calendar days must complete the COVID-19 Screening and Reporting Tool.</w:t>
      </w:r>
    </w:p>
    <w:p w:rsidR="008D3592" w:rsidRPr="001B46E7" w:rsidRDefault="000B2E18" w:rsidP="004F5B0B">
      <w:pPr>
        <w:pStyle w:val="ListParagraph"/>
        <w:numPr>
          <w:ilvl w:val="0"/>
          <w:numId w:val="31"/>
        </w:numPr>
        <w:rPr>
          <w:b/>
        </w:rPr>
      </w:pPr>
      <w:r w:rsidRPr="001B46E7">
        <w:t>Travel – Employees and students who have traveled domestically or internationally must complete the COVID-19 Screening and Reporting Tool</w:t>
      </w:r>
      <w:r w:rsidR="00F202B0" w:rsidRPr="001B46E7">
        <w:t xml:space="preserve"> unless the travel</w:t>
      </w:r>
      <w:r w:rsidR="00A34D52" w:rsidRPr="001B46E7">
        <w:t>er</w:t>
      </w:r>
      <w:r w:rsidR="00F202B0" w:rsidRPr="001B46E7">
        <w:t xml:space="preserve"> qualifies for </w:t>
      </w:r>
      <w:r w:rsidR="00A34D52" w:rsidRPr="001B46E7">
        <w:t>the Commuter Process.</w:t>
      </w:r>
      <w:r w:rsidR="003C77EF" w:rsidRPr="001B46E7">
        <w:rPr>
          <w:rStyle w:val="FootnoteReference"/>
        </w:rPr>
        <w:footnoteReference w:id="8"/>
      </w:r>
      <w:hyperlink w:history="1"/>
    </w:p>
    <w:p w:rsidR="008D3592" w:rsidRPr="001B46E7" w:rsidRDefault="00125E65" w:rsidP="004F5B0B">
      <w:pPr>
        <w:pStyle w:val="ListParagraph"/>
        <w:numPr>
          <w:ilvl w:val="0"/>
          <w:numId w:val="31"/>
        </w:numPr>
        <w:rPr>
          <w:b/>
        </w:rPr>
      </w:pPr>
      <w:r>
        <w:lastRenderedPageBreak/>
        <w:t>Events and Gatherings</w:t>
      </w:r>
      <w:r w:rsidR="00684222" w:rsidRPr="001B46E7">
        <w:t xml:space="preserve"> - </w:t>
      </w:r>
      <w:r w:rsidR="0042207E" w:rsidRPr="001B46E7">
        <w:t>Empl</w:t>
      </w:r>
      <w:r w:rsidR="00A34D52" w:rsidRPr="001B46E7">
        <w:t>oyees and students who attend a</w:t>
      </w:r>
      <w:r w:rsidR="00A07DE9" w:rsidRPr="001B46E7">
        <w:t>n</w:t>
      </w:r>
      <w:r w:rsidR="008A2B8A">
        <w:t xml:space="preserve"> event, </w:t>
      </w:r>
      <w:r w:rsidR="004E7E97">
        <w:t xml:space="preserve">go to an </w:t>
      </w:r>
      <w:r w:rsidR="0042207E" w:rsidRPr="001B46E7">
        <w:t>entertainment venue</w:t>
      </w:r>
      <w:r w:rsidR="008A2B8A">
        <w:t xml:space="preserve">, or participate in a group gathering of 10 or more people AND do not wear a mask and practice social distancing </w:t>
      </w:r>
      <w:r w:rsidR="0042207E" w:rsidRPr="001B46E7">
        <w:t>must complete the COVID-</w:t>
      </w:r>
      <w:r w:rsidR="008A2B8A">
        <w:t xml:space="preserve">19 Screening and Reporting Tool.  </w:t>
      </w:r>
      <w:r w:rsidR="00344FDD">
        <w:t>(Household members do not count toward the number of 10 or more</w:t>
      </w:r>
      <w:r w:rsidR="00215CB3">
        <w:t>.</w:t>
      </w:r>
      <w:r w:rsidR="00344FDD">
        <w:t>)</w:t>
      </w:r>
    </w:p>
    <w:p w:rsidR="008D3592" w:rsidRPr="001B46E7" w:rsidRDefault="00684222" w:rsidP="004F5B0B">
      <w:pPr>
        <w:pStyle w:val="ListParagraph"/>
        <w:numPr>
          <w:ilvl w:val="0"/>
          <w:numId w:val="31"/>
        </w:numPr>
        <w:rPr>
          <w:b/>
        </w:rPr>
      </w:pPr>
      <w:r w:rsidRPr="001B46E7">
        <w:t xml:space="preserve">Close Contact - </w:t>
      </w:r>
      <w:r w:rsidR="0042207E" w:rsidRPr="001B46E7">
        <w:t>Employees and students who have had close contact with an individual diagnosed with COVID-19</w:t>
      </w:r>
      <w:r w:rsidR="00865883" w:rsidRPr="001B46E7">
        <w:t xml:space="preserve"> </w:t>
      </w:r>
      <w:r w:rsidR="00A07DE9" w:rsidRPr="001B46E7">
        <w:t>or who ha</w:t>
      </w:r>
      <w:r w:rsidR="00865883" w:rsidRPr="001B46E7">
        <w:t>s had</w:t>
      </w:r>
      <w:r w:rsidR="00A07DE9" w:rsidRPr="001B46E7">
        <w:t xml:space="preserve"> symptoms of COVID-19</w:t>
      </w:r>
      <w:r w:rsidR="00865883" w:rsidRPr="001B46E7">
        <w:t xml:space="preserve"> in the last 14 days</w:t>
      </w:r>
      <w:r w:rsidR="0042207E" w:rsidRPr="001B46E7">
        <w:t xml:space="preserve"> must complete the COVID-19 Screening and Reporting Tool.</w:t>
      </w:r>
    </w:p>
    <w:p w:rsidR="008D3592" w:rsidRPr="00243E9D" w:rsidRDefault="00684222" w:rsidP="004F5B0B">
      <w:pPr>
        <w:pStyle w:val="ListParagraph"/>
        <w:numPr>
          <w:ilvl w:val="0"/>
          <w:numId w:val="31"/>
        </w:numPr>
        <w:rPr>
          <w:b/>
        </w:rPr>
      </w:pPr>
      <w:r w:rsidRPr="001B46E7">
        <w:t xml:space="preserve">Experiencing Symptoms- </w:t>
      </w:r>
      <w:r w:rsidR="0042207E" w:rsidRPr="001B46E7">
        <w:t xml:space="preserve">Employees and students </w:t>
      </w:r>
      <w:r w:rsidRPr="001B46E7">
        <w:t>experiencing symptoms that could be consistent with COVID-19, such as fever, cough, shortness of breath or difficulty breathing, chills, muscle pain, sore throat, recent loss of taste or smell, and/or extreme fatigue, must complete the COVID-19 Screening and Reporting Tool.  They should also contact their health care provider regarding specific symptoms.</w:t>
      </w:r>
    </w:p>
    <w:p w:rsidR="00243E9D" w:rsidRPr="00243E9D" w:rsidRDefault="00243E9D" w:rsidP="004F5B0B">
      <w:pPr>
        <w:pStyle w:val="ListParagraph"/>
        <w:numPr>
          <w:ilvl w:val="0"/>
          <w:numId w:val="31"/>
        </w:numPr>
        <w:rPr>
          <w:b/>
        </w:rPr>
      </w:pPr>
      <w:r>
        <w:t>Positive Test – Employees and students who test positive for COVID-19 may not return to campus until they have been cleared by Student &amp; Employee Health to return.  Clearance may require a negative test or tests.</w:t>
      </w:r>
    </w:p>
    <w:p w:rsidR="00F07AFF" w:rsidRPr="00EB30CC" w:rsidRDefault="00684222" w:rsidP="004F5B0B">
      <w:pPr>
        <w:pStyle w:val="ListParagraph"/>
        <w:numPr>
          <w:ilvl w:val="0"/>
          <w:numId w:val="31"/>
        </w:numPr>
        <w:rPr>
          <w:b/>
        </w:rPr>
      </w:pPr>
      <w:r w:rsidRPr="00EB30CC">
        <w:t>Positive Household Member – Employees and students with a household member who has tested positive for COVID-19</w:t>
      </w:r>
      <w:r w:rsidR="00865883" w:rsidRPr="00EB30CC">
        <w:t xml:space="preserve"> in the past 60 days</w:t>
      </w:r>
      <w:r w:rsidRPr="00EB30CC">
        <w:t xml:space="preserve"> must complete the COVID-19 Screening and Reporting Tool. </w:t>
      </w:r>
    </w:p>
    <w:p w:rsidR="00684222" w:rsidRPr="00F07AFF" w:rsidRDefault="00684222" w:rsidP="00B16825">
      <w:pPr>
        <w:pStyle w:val="ListParagraph"/>
        <w:numPr>
          <w:ilvl w:val="0"/>
          <w:numId w:val="38"/>
        </w:numPr>
        <w:ind w:left="1080"/>
        <w:rPr>
          <w:b/>
        </w:rPr>
      </w:pPr>
      <w:r w:rsidRPr="00F07AFF">
        <w:rPr>
          <w:u w:val="single"/>
        </w:rPr>
        <w:t xml:space="preserve">Monitoring Patients and </w:t>
      </w:r>
      <w:r w:rsidR="00EB30CC">
        <w:rPr>
          <w:u w:val="single"/>
        </w:rPr>
        <w:t xml:space="preserve">Invited </w:t>
      </w:r>
      <w:r w:rsidRPr="00F07AFF">
        <w:rPr>
          <w:u w:val="single"/>
        </w:rPr>
        <w:t>Visitors</w:t>
      </w:r>
      <w:r>
        <w:t xml:space="preserve"> – </w:t>
      </w:r>
    </w:p>
    <w:p w:rsidR="00103D3A" w:rsidRDefault="00F33054" w:rsidP="004F5B0B">
      <w:pPr>
        <w:pStyle w:val="ListParagraph"/>
        <w:numPr>
          <w:ilvl w:val="0"/>
          <w:numId w:val="33"/>
        </w:numPr>
      </w:pPr>
      <w:r w:rsidRPr="00684222">
        <w:t>Patient</w:t>
      </w:r>
      <w:r w:rsidR="00684222">
        <w:t>s</w:t>
      </w:r>
      <w:r w:rsidRPr="00684222">
        <w:t xml:space="preserve"> and </w:t>
      </w:r>
      <w:r w:rsidR="00684222">
        <w:t>Their V</w:t>
      </w:r>
      <w:r w:rsidRPr="00684222">
        <w:t>isitor</w:t>
      </w:r>
      <w:r w:rsidR="00684222">
        <w:t>s – Patients and accompanying visitors</w:t>
      </w:r>
      <w:r w:rsidRPr="003349C3">
        <w:t xml:space="preserve"> </w:t>
      </w:r>
      <w:r w:rsidR="00684222">
        <w:t xml:space="preserve">will be </w:t>
      </w:r>
      <w:r w:rsidRPr="003349C3">
        <w:t>monitor</w:t>
      </w:r>
      <w:r w:rsidR="00684222">
        <w:t>ed</w:t>
      </w:r>
      <w:r w:rsidRPr="003349C3">
        <w:t xml:space="preserve"> via temperature checks and other clinic screening tools.</w:t>
      </w:r>
    </w:p>
    <w:p w:rsidR="00103D3A" w:rsidRPr="00EB30CC" w:rsidRDefault="00684222" w:rsidP="004F5B0B">
      <w:pPr>
        <w:pStyle w:val="ListParagraph"/>
        <w:numPr>
          <w:ilvl w:val="0"/>
          <w:numId w:val="33"/>
        </w:numPr>
      </w:pPr>
      <w:r w:rsidRPr="00EB30CC">
        <w:t>Invited Visitors</w:t>
      </w:r>
      <w:r w:rsidR="00EB30CC" w:rsidRPr="00EB30CC">
        <w:rPr>
          <w:rStyle w:val="FootnoteReference"/>
        </w:rPr>
        <w:footnoteReference w:id="9"/>
      </w:r>
      <w:r w:rsidRPr="00EB30CC">
        <w:t xml:space="preserve"> – Visitors invited to campus for mission critical business</w:t>
      </w:r>
      <w:r w:rsidR="00EB30CC">
        <w:t>, such as certain job candidates and speakers,</w:t>
      </w:r>
      <w:r w:rsidRPr="00EB30CC">
        <w:t xml:space="preserve"> will be directed to complete the </w:t>
      </w:r>
      <w:r w:rsidR="00C220ED">
        <w:t xml:space="preserve">Vendor/Visitor </w:t>
      </w:r>
      <w:r w:rsidRPr="00EB30CC">
        <w:t xml:space="preserve">COVID-19 Screening and Reporting </w:t>
      </w:r>
      <w:hyperlink r:id="rId24" w:history="1">
        <w:r w:rsidRPr="00E3294D">
          <w:rPr>
            <w:rStyle w:val="Hyperlink"/>
          </w:rPr>
          <w:t>Tool</w:t>
        </w:r>
      </w:hyperlink>
      <w:r w:rsidR="00C220ED">
        <w:t xml:space="preserve"> </w:t>
      </w:r>
      <w:r w:rsidRPr="00EB30CC">
        <w:t>prior to their arrival on campus.</w:t>
      </w:r>
      <w:r w:rsidR="0006287C" w:rsidRPr="00EB30CC">
        <w:t xml:space="preserve">  They will be advised to notify the individual who invited them to campus if they begin to experience COVID-19 symptoms during their visit.</w:t>
      </w:r>
    </w:p>
    <w:p w:rsidR="00A437F9" w:rsidRDefault="00D46C90" w:rsidP="00B16825">
      <w:pPr>
        <w:pStyle w:val="ListParagraph"/>
        <w:numPr>
          <w:ilvl w:val="0"/>
          <w:numId w:val="38"/>
        </w:numPr>
        <w:ind w:left="1080"/>
      </w:pPr>
      <w:r w:rsidRPr="00103D3A">
        <w:rPr>
          <w:u w:val="single"/>
        </w:rPr>
        <w:t>Temperature Checks</w:t>
      </w:r>
      <w:r>
        <w:t xml:space="preserve"> - Temperature checks may be required only for individuals entering buildings/areas where patient care is provided. Employees in these buildings/areas may be required to check their temperatures at home or upon entry. Prior approval from the Office of Human Resources is required for employee temperature checks in any other buildings/areas. </w:t>
      </w:r>
    </w:p>
    <w:p w:rsidR="00A437F9" w:rsidRDefault="00A437F9" w:rsidP="00C8506B">
      <w:pPr>
        <w:pStyle w:val="ListParagraph"/>
        <w:numPr>
          <w:ilvl w:val="0"/>
          <w:numId w:val="39"/>
        </w:numPr>
        <w:ind w:left="1800"/>
      </w:pPr>
      <w:r>
        <w:t>E</w:t>
      </w:r>
      <w:r w:rsidR="00D46C90">
        <w:t xml:space="preserve">mployees - Employees with an elevated temperature </w:t>
      </w:r>
      <w:r w:rsidR="00EB30CC">
        <w:t xml:space="preserve">(100.4F and above) </w:t>
      </w:r>
      <w:r w:rsidR="00D46C90">
        <w:t xml:space="preserve">may not return to </w:t>
      </w:r>
      <w:r w:rsidR="00EB30CC">
        <w:t xml:space="preserve">campus </w:t>
      </w:r>
      <w:r w:rsidR="00D46C90">
        <w:t xml:space="preserve">until they have had no elevated temperature and no evidence of </w:t>
      </w:r>
      <w:hyperlink r:id="rId25" w:history="1">
        <w:r w:rsidR="00D46C90" w:rsidRPr="00767D8F">
          <w:rPr>
            <w:rStyle w:val="Hyperlink"/>
          </w:rPr>
          <w:t>COVID</w:t>
        </w:r>
        <w:r w:rsidR="00135416">
          <w:rPr>
            <w:rStyle w:val="Hyperlink"/>
          </w:rPr>
          <w:t>-</w:t>
        </w:r>
        <w:r w:rsidR="00D46C90" w:rsidRPr="00767D8F">
          <w:rPr>
            <w:rStyle w:val="Hyperlink"/>
          </w:rPr>
          <w:t>19 symptoms</w:t>
        </w:r>
      </w:hyperlink>
      <w:r w:rsidR="00D46C90">
        <w:t xml:space="preserve"> for at least 72 hours </w:t>
      </w:r>
      <w:r w:rsidR="00D46C90" w:rsidRPr="00A437F9">
        <w:rPr>
          <w:u w:val="single"/>
        </w:rPr>
        <w:t>and</w:t>
      </w:r>
      <w:r w:rsidR="00D46C90">
        <w:t xml:space="preserve"> they have been cleared by Student</w:t>
      </w:r>
      <w:r w:rsidR="00EB30CC">
        <w:t xml:space="preserve">&amp; </w:t>
      </w:r>
      <w:r w:rsidR="00D46C90">
        <w:t>Employee Health</w:t>
      </w:r>
      <w:r w:rsidR="00074A48">
        <w:t xml:space="preserve"> via </w:t>
      </w:r>
      <w:r w:rsidR="00074A48" w:rsidRPr="003349C3">
        <w:t xml:space="preserve">the </w:t>
      </w:r>
      <w:r w:rsidR="005A3DEC" w:rsidRPr="003349C3">
        <w:t xml:space="preserve">COVID-19 Screening and Reporting </w:t>
      </w:r>
      <w:r w:rsidR="00424883" w:rsidRPr="003349C3">
        <w:t>Tool</w:t>
      </w:r>
      <w:r w:rsidR="005A3DEC" w:rsidRPr="003349C3">
        <w:t xml:space="preserve"> at</w:t>
      </w:r>
      <w:r w:rsidR="00074A48" w:rsidRPr="003349C3">
        <w:t xml:space="preserve"> </w:t>
      </w:r>
      <w:hyperlink r:id="rId26" w:history="1">
        <w:r w:rsidR="00074A48" w:rsidRPr="003349C3">
          <w:rPr>
            <w:rStyle w:val="Hyperlink"/>
          </w:rPr>
          <w:t>https://covidreporting.ouhsc.edu/</w:t>
        </w:r>
      </w:hyperlink>
      <w:r w:rsidR="00074A48" w:rsidRPr="003349C3">
        <w:t>.</w:t>
      </w:r>
    </w:p>
    <w:p w:rsidR="0003259E" w:rsidRDefault="00D46C90" w:rsidP="00C8506B">
      <w:pPr>
        <w:pStyle w:val="ListParagraph"/>
        <w:numPr>
          <w:ilvl w:val="0"/>
          <w:numId w:val="39"/>
        </w:numPr>
        <w:ind w:left="1800"/>
      </w:pPr>
      <w:r w:rsidRPr="003349C3">
        <w:t xml:space="preserve">Patients </w:t>
      </w:r>
      <w:r w:rsidR="00135416" w:rsidRPr="003349C3">
        <w:t>-</w:t>
      </w:r>
      <w:r w:rsidRPr="003349C3">
        <w:t xml:space="preserve"> Patien</w:t>
      </w:r>
      <w:r w:rsidR="002440C6" w:rsidRPr="003349C3">
        <w:t>ts with an elevated temperature</w:t>
      </w:r>
      <w:r w:rsidRPr="003349C3">
        <w:t xml:space="preserve"> </w:t>
      </w:r>
      <w:r w:rsidR="00EB30CC">
        <w:t xml:space="preserve">(100.4F and above) </w:t>
      </w:r>
      <w:r w:rsidRPr="003349C3">
        <w:t>at screening will be managed in accordance with clinic protocol.</w:t>
      </w:r>
    </w:p>
    <w:p w:rsidR="006C270B" w:rsidRDefault="006C270B" w:rsidP="006C270B">
      <w:pPr>
        <w:pStyle w:val="ListParagraph"/>
        <w:ind w:left="1800"/>
      </w:pPr>
    </w:p>
    <w:p w:rsidR="00100AB5" w:rsidRPr="0003259E" w:rsidRDefault="00E90901" w:rsidP="005208C7">
      <w:pPr>
        <w:pStyle w:val="ListParagraph"/>
        <w:numPr>
          <w:ilvl w:val="0"/>
          <w:numId w:val="20"/>
        </w:numPr>
        <w:ind w:left="720"/>
      </w:pPr>
      <w:r w:rsidRPr="005208C7">
        <w:rPr>
          <w:b/>
        </w:rPr>
        <w:t>T</w:t>
      </w:r>
      <w:r w:rsidR="004413F9" w:rsidRPr="005208C7">
        <w:rPr>
          <w:b/>
        </w:rPr>
        <w:t>ravel</w:t>
      </w:r>
    </w:p>
    <w:p w:rsidR="00B643F1" w:rsidRDefault="005C71B1" w:rsidP="00B643F1">
      <w:pPr>
        <w:pStyle w:val="ListParagraph"/>
        <w:numPr>
          <w:ilvl w:val="3"/>
          <w:numId w:val="10"/>
        </w:numPr>
        <w:ind w:left="1080"/>
      </w:pPr>
      <w:r w:rsidRPr="003349C3">
        <w:rPr>
          <w:u w:val="single"/>
        </w:rPr>
        <w:lastRenderedPageBreak/>
        <w:t>Travel Guidance</w:t>
      </w:r>
      <w:r w:rsidRPr="003349C3">
        <w:t xml:space="preserve"> </w:t>
      </w:r>
      <w:r w:rsidR="00F202B0">
        <w:t>–</w:t>
      </w:r>
      <w:r w:rsidRPr="003349C3">
        <w:t xml:space="preserve"> </w:t>
      </w:r>
      <w:r w:rsidR="00F202B0">
        <w:t>Except as provided in Section VIII.A.3 above, a</w:t>
      </w:r>
      <w:r w:rsidR="00D46C90" w:rsidRPr="003349C3">
        <w:t xml:space="preserve">ll employees, </w:t>
      </w:r>
      <w:r w:rsidR="00F9742E" w:rsidRPr="003349C3">
        <w:t>students</w:t>
      </w:r>
      <w:r w:rsidR="00D46C90" w:rsidRPr="003349C3">
        <w:t>, and visitors</w:t>
      </w:r>
      <w:r w:rsidR="00F9742E" w:rsidRPr="003349C3">
        <w:t xml:space="preserve"> </w:t>
      </w:r>
      <w:r w:rsidR="0095032C" w:rsidRPr="003349C3">
        <w:t>will comply with the t</w:t>
      </w:r>
      <w:r w:rsidR="005B3C3B">
        <w:t>ravel guidance for their campus</w:t>
      </w:r>
      <w:r w:rsidR="0095032C" w:rsidRPr="003349C3">
        <w:t>:</w:t>
      </w:r>
      <w:r w:rsidR="00C8506B">
        <w:t xml:space="preserve"> </w:t>
      </w:r>
      <w:hyperlink r:id="rId27" w:history="1">
        <w:r w:rsidR="00017C72" w:rsidRPr="002C5D66">
          <w:rPr>
            <w:rStyle w:val="Hyperlink"/>
          </w:rPr>
          <w:t>https://students.ouhsc.edu/Portals/1352a/Assets/documents/coronavirus/University%20Update%20on%20Travel%20Guidance_03102020_355pm.pdf</w:t>
        </w:r>
      </w:hyperlink>
      <w:r w:rsidR="005B3C3B">
        <w:t>.</w:t>
      </w:r>
    </w:p>
    <w:p w:rsidR="00B643F1" w:rsidRPr="00B643F1" w:rsidRDefault="00B643F1" w:rsidP="00B643F1">
      <w:pPr>
        <w:pStyle w:val="ListParagraph"/>
        <w:numPr>
          <w:ilvl w:val="0"/>
          <w:numId w:val="20"/>
        </w:numPr>
        <w:ind w:left="720"/>
      </w:pPr>
      <w:r>
        <w:rPr>
          <w:b/>
        </w:rPr>
        <w:t>Training</w:t>
      </w:r>
    </w:p>
    <w:p w:rsidR="00B643F1" w:rsidRDefault="00B643F1" w:rsidP="00B643F1">
      <w:pPr>
        <w:pStyle w:val="ListParagraph"/>
      </w:pPr>
      <w:r>
        <w:t xml:space="preserve">A. </w:t>
      </w:r>
      <w:proofErr w:type="gramStart"/>
      <w:r>
        <w:t>The</w:t>
      </w:r>
      <w:proofErr w:type="gramEnd"/>
      <w:r>
        <w:t xml:space="preserve"> SPPOT/EOC Exec Team will coordinate training materials and opportunities for departments/areas, employees, and students to learn about COVID-19 and related campus policies.  </w:t>
      </w:r>
    </w:p>
    <w:p w:rsidR="00B643F1" w:rsidRDefault="00B643F1" w:rsidP="00B643F1">
      <w:pPr>
        <w:pStyle w:val="ListParagraph"/>
      </w:pPr>
      <w:r>
        <w:t xml:space="preserve">B. Each college, clinic, and department will ensure its employees and students also receive COVID-19 training specific to their areas on an ongoing basis.  </w:t>
      </w:r>
    </w:p>
    <w:p w:rsidR="00B643F1" w:rsidRPr="00B643F1" w:rsidRDefault="00B643F1" w:rsidP="00B643F1">
      <w:pPr>
        <w:pStyle w:val="ListParagraph"/>
      </w:pPr>
    </w:p>
    <w:p w:rsidR="00737A51" w:rsidRPr="004119AF" w:rsidRDefault="002E47FE" w:rsidP="00B16825">
      <w:pPr>
        <w:pStyle w:val="ListParagraph"/>
        <w:numPr>
          <w:ilvl w:val="0"/>
          <w:numId w:val="20"/>
        </w:numPr>
        <w:ind w:left="720"/>
      </w:pPr>
      <w:r w:rsidRPr="004119AF">
        <w:rPr>
          <w:b/>
        </w:rPr>
        <w:t>Research</w:t>
      </w:r>
      <w:r w:rsidR="00A41F4C" w:rsidRPr="004119AF">
        <w:rPr>
          <w:b/>
        </w:rPr>
        <w:t>,</w:t>
      </w:r>
      <w:r w:rsidR="00ED2C58" w:rsidRPr="004119AF">
        <w:rPr>
          <w:b/>
        </w:rPr>
        <w:t xml:space="preserve"> P</w:t>
      </w:r>
      <w:r w:rsidR="00CA25EE" w:rsidRPr="004119AF">
        <w:rPr>
          <w:b/>
        </w:rPr>
        <w:t>atient Care</w:t>
      </w:r>
      <w:r w:rsidR="00AB6CFE" w:rsidRPr="004119AF">
        <w:rPr>
          <w:b/>
        </w:rPr>
        <w:t>, Academics</w:t>
      </w:r>
      <w:r w:rsidR="0061116B" w:rsidRPr="004119AF">
        <w:rPr>
          <w:b/>
        </w:rPr>
        <w:t xml:space="preserve"> – Return to Service</w:t>
      </w:r>
      <w:r w:rsidR="00F10157">
        <w:rPr>
          <w:b/>
        </w:rPr>
        <w:t xml:space="preserve"> Plans</w:t>
      </w:r>
    </w:p>
    <w:p w:rsidR="00737A51" w:rsidRPr="00737A51" w:rsidRDefault="002E47FE" w:rsidP="00B16825">
      <w:pPr>
        <w:pStyle w:val="ListParagraph"/>
        <w:numPr>
          <w:ilvl w:val="0"/>
          <w:numId w:val="40"/>
        </w:numPr>
        <w:ind w:left="1080"/>
        <w:rPr>
          <w:b/>
        </w:rPr>
      </w:pPr>
      <w:r w:rsidRPr="00737A51">
        <w:rPr>
          <w:u w:val="single"/>
        </w:rPr>
        <w:t>Return to Research Plan</w:t>
      </w:r>
      <w:r w:rsidR="0006287C" w:rsidRPr="00737A51">
        <w:rPr>
          <w:u w:val="single"/>
        </w:rPr>
        <w:t>s</w:t>
      </w:r>
    </w:p>
    <w:p w:rsidR="00737A51" w:rsidRPr="00737A51" w:rsidRDefault="0006287C" w:rsidP="00D25C4C">
      <w:pPr>
        <w:pStyle w:val="ListParagraph"/>
        <w:numPr>
          <w:ilvl w:val="1"/>
          <w:numId w:val="40"/>
        </w:numPr>
        <w:ind w:left="1800"/>
        <w:rPr>
          <w:b/>
        </w:rPr>
      </w:pPr>
      <w:r>
        <w:t xml:space="preserve">The Return to Research Plan </w:t>
      </w:r>
      <w:r w:rsidRPr="003349C3">
        <w:t xml:space="preserve">for laboratory research is available here:  </w:t>
      </w:r>
      <w:hyperlink r:id="rId28" w:history="1">
        <w:r w:rsidRPr="003349C3">
          <w:rPr>
            <w:rStyle w:val="Hyperlink"/>
          </w:rPr>
          <w:t>https://research.ouhsc.edu/Resources/COVID-Research-Updates</w:t>
        </w:r>
      </w:hyperlink>
      <w:r w:rsidRPr="003349C3">
        <w:t>.</w:t>
      </w:r>
    </w:p>
    <w:p w:rsidR="00737A51" w:rsidRPr="00737A51" w:rsidRDefault="0006287C" w:rsidP="00D25C4C">
      <w:pPr>
        <w:pStyle w:val="ListParagraph"/>
        <w:numPr>
          <w:ilvl w:val="1"/>
          <w:numId w:val="40"/>
        </w:numPr>
        <w:ind w:left="1800"/>
        <w:rPr>
          <w:b/>
        </w:rPr>
      </w:pPr>
      <w:r>
        <w:t xml:space="preserve">The Return to Research plan for human </w:t>
      </w:r>
      <w:proofErr w:type="gramStart"/>
      <w:r>
        <w:t>subjects</w:t>
      </w:r>
      <w:proofErr w:type="gramEnd"/>
      <w:r>
        <w:t xml:space="preserve"> research is available here:  </w:t>
      </w:r>
      <w:hyperlink r:id="rId29" w:history="1">
        <w:r>
          <w:rPr>
            <w:rStyle w:val="Hyperlink"/>
          </w:rPr>
          <w:t>https://compliance.ouhsc.edu/HRPP/COVID-19-Information</w:t>
        </w:r>
      </w:hyperlink>
      <w:r>
        <w:t>.</w:t>
      </w:r>
    </w:p>
    <w:p w:rsidR="00737A51" w:rsidRDefault="0006287C" w:rsidP="00B16825">
      <w:pPr>
        <w:pStyle w:val="ListParagraph"/>
        <w:numPr>
          <w:ilvl w:val="0"/>
          <w:numId w:val="40"/>
        </w:numPr>
        <w:ind w:left="1080"/>
      </w:pPr>
      <w:r w:rsidRPr="00737A51">
        <w:rPr>
          <w:u w:val="single"/>
        </w:rPr>
        <w:t>Clinics</w:t>
      </w:r>
      <w:r>
        <w:t xml:space="preserve"> </w:t>
      </w:r>
      <w:r w:rsidR="0061116B">
        <w:t>–</w:t>
      </w:r>
      <w:r>
        <w:t xml:space="preserve"> </w:t>
      </w:r>
      <w:r w:rsidR="0061116B">
        <w:t>The Return to Service plans for OU Physicians, the College of Dentistry, Keys Speech and Hearing, and others are available from the appropriate administrative office</w:t>
      </w:r>
    </w:p>
    <w:p w:rsidR="004119AF" w:rsidRDefault="0006287C" w:rsidP="00B16825">
      <w:pPr>
        <w:pStyle w:val="ListParagraph"/>
        <w:numPr>
          <w:ilvl w:val="0"/>
          <w:numId w:val="40"/>
        </w:numPr>
        <w:spacing w:before="240"/>
        <w:ind w:left="1080"/>
      </w:pPr>
      <w:r w:rsidRPr="00737A51">
        <w:rPr>
          <w:u w:val="single"/>
        </w:rPr>
        <w:t>Instruction</w:t>
      </w:r>
      <w:r>
        <w:t xml:space="preserve"> - </w:t>
      </w:r>
      <w:r w:rsidR="00074A48" w:rsidRPr="003349C3">
        <w:t xml:space="preserve">The Return to On-Site Instruction </w:t>
      </w:r>
      <w:r w:rsidR="006E412D" w:rsidRPr="003349C3">
        <w:t xml:space="preserve">Plan </w:t>
      </w:r>
      <w:r w:rsidR="00AB6CFE" w:rsidRPr="003349C3">
        <w:t xml:space="preserve">is at the top of the </w:t>
      </w:r>
      <w:r w:rsidR="00AB6CFE" w:rsidRPr="00737A51">
        <w:rPr>
          <w:b/>
          <w:bCs/>
        </w:rPr>
        <w:t>OUHSC Teach Anywhere</w:t>
      </w:r>
      <w:r w:rsidR="00AB6CFE" w:rsidRPr="003349C3">
        <w:t xml:space="preserve"> page: </w:t>
      </w:r>
      <w:hyperlink r:id="rId30" w:history="1">
        <w:r w:rsidR="00AB6CFE" w:rsidRPr="003349C3">
          <w:rPr>
            <w:rStyle w:val="Hyperlink"/>
          </w:rPr>
          <w:t>https://www.ouhsc.edu/teachanywhere/</w:t>
        </w:r>
      </w:hyperlink>
      <w:r w:rsidR="00AB6CFE" w:rsidRPr="003349C3">
        <w:t xml:space="preserve">. </w:t>
      </w:r>
    </w:p>
    <w:p w:rsidR="00F10157" w:rsidRDefault="00F10157" w:rsidP="00B16825">
      <w:pPr>
        <w:pStyle w:val="ListParagraph"/>
        <w:numPr>
          <w:ilvl w:val="0"/>
          <w:numId w:val="40"/>
        </w:numPr>
        <w:spacing w:before="240"/>
        <w:ind w:left="1080"/>
      </w:pPr>
      <w:r w:rsidRPr="00344FDD">
        <w:rPr>
          <w:u w:val="single"/>
        </w:rPr>
        <w:t>Other</w:t>
      </w:r>
      <w:r>
        <w:rPr>
          <w:u w:val="single"/>
        </w:rPr>
        <w:t xml:space="preserve"> Plans </w:t>
      </w:r>
      <w:r>
        <w:t>– Other Return to Service plans are available from the vice president responsible for the particular area.</w:t>
      </w:r>
    </w:p>
    <w:p w:rsidR="004119AF" w:rsidRDefault="00AB6CFE" w:rsidP="004119AF">
      <w:pPr>
        <w:pStyle w:val="ListParagraph"/>
        <w:tabs>
          <w:tab w:val="left" w:pos="1080"/>
        </w:tabs>
        <w:spacing w:before="240"/>
        <w:ind w:left="1080"/>
      </w:pPr>
      <w:r w:rsidRPr="003349C3">
        <w:t xml:space="preserve"> </w:t>
      </w:r>
    </w:p>
    <w:p w:rsidR="00EF17A0" w:rsidRPr="004119AF" w:rsidRDefault="00045F8C" w:rsidP="00B16825">
      <w:pPr>
        <w:pStyle w:val="ListParagraph"/>
        <w:numPr>
          <w:ilvl w:val="0"/>
          <w:numId w:val="20"/>
        </w:numPr>
        <w:tabs>
          <w:tab w:val="left" w:pos="900"/>
        </w:tabs>
        <w:spacing w:before="240"/>
        <w:ind w:left="720"/>
      </w:pPr>
      <w:r w:rsidRPr="004119AF">
        <w:rPr>
          <w:b/>
        </w:rPr>
        <w:t>Enforcement</w:t>
      </w:r>
    </w:p>
    <w:p w:rsidR="00B643F1" w:rsidRDefault="00ED2C58" w:rsidP="00230DB7">
      <w:pPr>
        <w:contextualSpacing/>
      </w:pPr>
      <w:r>
        <w:rPr>
          <w:b/>
        </w:rPr>
        <w:tab/>
      </w:r>
      <w:r>
        <w:t xml:space="preserve">Employees and students who refuse to comply with this </w:t>
      </w:r>
      <w:r w:rsidR="00637997">
        <w:t>Return</w:t>
      </w:r>
      <w:r>
        <w:t xml:space="preserve"> Plan are subject to disciplin</w:t>
      </w:r>
      <w:r w:rsidR="005E156F">
        <w:t>ary action</w:t>
      </w:r>
      <w:r>
        <w:t xml:space="preserve">, in accordance with the applicable faculty, staff, or student handbook policy. If an employee or student indicates compliance is not possible due to medical reasons, the individual should be referred to the appropriate </w:t>
      </w:r>
      <w:r w:rsidR="00DA55B3">
        <w:t xml:space="preserve">University office </w:t>
      </w:r>
      <w:r>
        <w:t>to request accommodations on the basis of disability</w:t>
      </w:r>
      <w:r w:rsidR="00CA25EE">
        <w:t xml:space="preserve"> office (Human Resources for employees; Accessibility &amp; Disability Resource Center for students)</w:t>
      </w:r>
      <w:r>
        <w:t>.</w:t>
      </w:r>
      <w:r w:rsidR="00637997">
        <w:t xml:space="preserve"> Vendors, visitors, and patients who refuse to comply with this Return Plan are subject to having their access to campus suspended or terminated.</w:t>
      </w:r>
    </w:p>
    <w:p w:rsidR="00B643F1" w:rsidRDefault="00B643F1">
      <w:r>
        <w:br w:type="page"/>
      </w:r>
    </w:p>
    <w:p w:rsidR="00637997" w:rsidRDefault="00B643F1" w:rsidP="00230DB7">
      <w:pPr>
        <w:contextualSpacing/>
      </w:pPr>
      <w:r>
        <w:lastRenderedPageBreak/>
        <w:t>Revision History</w:t>
      </w:r>
    </w:p>
    <w:p w:rsidR="00B643F1" w:rsidRDefault="00B643F1" w:rsidP="00230DB7">
      <w:pPr>
        <w:contextualSpacing/>
      </w:pPr>
    </w:p>
    <w:tbl>
      <w:tblPr>
        <w:tblStyle w:val="TableGrid"/>
        <w:tblW w:w="0" w:type="auto"/>
        <w:tblLook w:val="04A0" w:firstRow="1" w:lastRow="0" w:firstColumn="1" w:lastColumn="0" w:noHBand="0" w:noVBand="1"/>
      </w:tblPr>
      <w:tblGrid>
        <w:gridCol w:w="1733"/>
        <w:gridCol w:w="1334"/>
        <w:gridCol w:w="3551"/>
        <w:gridCol w:w="1708"/>
      </w:tblGrid>
      <w:tr w:rsidR="00196F82" w:rsidTr="00B643F1">
        <w:tc>
          <w:tcPr>
            <w:tcW w:w="0" w:type="auto"/>
          </w:tcPr>
          <w:p w:rsidR="00755617" w:rsidRDefault="00755617" w:rsidP="00230DB7">
            <w:pPr>
              <w:contextualSpacing/>
              <w:rPr>
                <w:b/>
              </w:rPr>
            </w:pPr>
            <w:r>
              <w:rPr>
                <w:b/>
              </w:rPr>
              <w:t xml:space="preserve">Effective </w:t>
            </w:r>
            <w:r w:rsidR="00B643F1" w:rsidRPr="00196F82">
              <w:rPr>
                <w:b/>
              </w:rPr>
              <w:t xml:space="preserve">Date of </w:t>
            </w:r>
          </w:p>
          <w:p w:rsidR="00196F82" w:rsidRPr="00196F82" w:rsidRDefault="00B643F1" w:rsidP="00230DB7">
            <w:pPr>
              <w:contextualSpacing/>
              <w:rPr>
                <w:b/>
              </w:rPr>
            </w:pPr>
            <w:r w:rsidRPr="00196F82">
              <w:rPr>
                <w:b/>
              </w:rPr>
              <w:t xml:space="preserve">Substantive </w:t>
            </w:r>
          </w:p>
          <w:p w:rsidR="00B643F1" w:rsidRDefault="00B643F1" w:rsidP="00230DB7">
            <w:pPr>
              <w:contextualSpacing/>
            </w:pPr>
            <w:r w:rsidRPr="00196F82">
              <w:rPr>
                <w:b/>
              </w:rPr>
              <w:t>Revision</w:t>
            </w:r>
          </w:p>
        </w:tc>
        <w:tc>
          <w:tcPr>
            <w:tcW w:w="0" w:type="auto"/>
          </w:tcPr>
          <w:p w:rsidR="00B643F1" w:rsidRPr="00196F82" w:rsidRDefault="00B643F1" w:rsidP="00230DB7">
            <w:pPr>
              <w:contextualSpacing/>
              <w:rPr>
                <w:b/>
              </w:rPr>
            </w:pPr>
            <w:r w:rsidRPr="00196F82">
              <w:rPr>
                <w:b/>
              </w:rPr>
              <w:t xml:space="preserve">Section </w:t>
            </w:r>
          </w:p>
          <w:p w:rsidR="00B643F1" w:rsidRDefault="00B643F1" w:rsidP="00230DB7">
            <w:pPr>
              <w:contextualSpacing/>
            </w:pPr>
            <w:r w:rsidRPr="00196F82">
              <w:rPr>
                <w:b/>
              </w:rPr>
              <w:t>Revised</w:t>
            </w:r>
          </w:p>
        </w:tc>
        <w:tc>
          <w:tcPr>
            <w:tcW w:w="0" w:type="auto"/>
          </w:tcPr>
          <w:p w:rsidR="00B643F1" w:rsidRPr="00196F82" w:rsidRDefault="00B643F1" w:rsidP="00230DB7">
            <w:pPr>
              <w:contextualSpacing/>
              <w:rPr>
                <w:b/>
              </w:rPr>
            </w:pPr>
            <w:r w:rsidRPr="00196F82">
              <w:rPr>
                <w:b/>
              </w:rPr>
              <w:t xml:space="preserve">Description of </w:t>
            </w:r>
            <w:r w:rsidR="00196F82" w:rsidRPr="00196F82">
              <w:rPr>
                <w:b/>
              </w:rPr>
              <w:t xml:space="preserve">Substantive </w:t>
            </w:r>
            <w:r w:rsidRPr="00196F82">
              <w:rPr>
                <w:b/>
              </w:rPr>
              <w:t>Revision</w:t>
            </w:r>
          </w:p>
        </w:tc>
        <w:tc>
          <w:tcPr>
            <w:tcW w:w="0" w:type="auto"/>
          </w:tcPr>
          <w:p w:rsidR="00B643F1" w:rsidRPr="00196F82" w:rsidRDefault="00B643F1" w:rsidP="00230DB7">
            <w:pPr>
              <w:contextualSpacing/>
              <w:rPr>
                <w:b/>
              </w:rPr>
            </w:pPr>
            <w:r w:rsidRPr="00196F82">
              <w:rPr>
                <w:b/>
              </w:rPr>
              <w:t>Approved By</w:t>
            </w:r>
          </w:p>
        </w:tc>
      </w:tr>
      <w:tr w:rsidR="00196F82" w:rsidTr="00B643F1">
        <w:tc>
          <w:tcPr>
            <w:tcW w:w="0" w:type="auto"/>
          </w:tcPr>
          <w:p w:rsidR="00B643F1" w:rsidRDefault="00B643F1" w:rsidP="00230DB7">
            <w:pPr>
              <w:contextualSpacing/>
            </w:pPr>
            <w:r>
              <w:t>6/</w:t>
            </w:r>
            <w:r w:rsidR="00755617">
              <w:t>29</w:t>
            </w:r>
            <w:r>
              <w:t>/2020</w:t>
            </w:r>
          </w:p>
        </w:tc>
        <w:tc>
          <w:tcPr>
            <w:tcW w:w="0" w:type="auto"/>
          </w:tcPr>
          <w:p w:rsidR="00B643F1" w:rsidRDefault="00755617" w:rsidP="00230DB7">
            <w:pPr>
              <w:contextualSpacing/>
            </w:pPr>
            <w:r>
              <w:t>Introduction</w:t>
            </w:r>
          </w:p>
        </w:tc>
        <w:tc>
          <w:tcPr>
            <w:tcW w:w="0" w:type="auto"/>
          </w:tcPr>
          <w:p w:rsidR="00755617" w:rsidRDefault="00755617" w:rsidP="00230DB7">
            <w:pPr>
              <w:contextualSpacing/>
            </w:pPr>
            <w:r>
              <w:t>Added distribution/posting</w:t>
            </w:r>
          </w:p>
          <w:p w:rsidR="00B643F1" w:rsidRDefault="00755617" w:rsidP="00230DB7">
            <w:pPr>
              <w:contextualSpacing/>
            </w:pPr>
            <w:r>
              <w:t>requirement to 2d paragraph</w:t>
            </w:r>
          </w:p>
        </w:tc>
        <w:tc>
          <w:tcPr>
            <w:tcW w:w="0" w:type="auto"/>
          </w:tcPr>
          <w:p w:rsidR="00B643F1" w:rsidRDefault="00196F82" w:rsidP="00230DB7">
            <w:pPr>
              <w:contextualSpacing/>
            </w:pPr>
            <w:r>
              <w:t>SPPOT/EOC Exec</w:t>
            </w:r>
          </w:p>
        </w:tc>
      </w:tr>
      <w:tr w:rsidR="00196F82" w:rsidTr="00B643F1">
        <w:tc>
          <w:tcPr>
            <w:tcW w:w="0" w:type="auto"/>
          </w:tcPr>
          <w:p w:rsidR="00B643F1" w:rsidRDefault="00755617" w:rsidP="00230DB7">
            <w:pPr>
              <w:contextualSpacing/>
            </w:pPr>
            <w:r>
              <w:t>6/29/2020</w:t>
            </w:r>
          </w:p>
        </w:tc>
        <w:tc>
          <w:tcPr>
            <w:tcW w:w="0" w:type="auto"/>
          </w:tcPr>
          <w:p w:rsidR="00B643F1" w:rsidRDefault="00755617" w:rsidP="00230DB7">
            <w:pPr>
              <w:contextualSpacing/>
            </w:pPr>
            <w:r>
              <w:t>II.A.1</w:t>
            </w:r>
          </w:p>
        </w:tc>
        <w:tc>
          <w:tcPr>
            <w:tcW w:w="0" w:type="auto"/>
          </w:tcPr>
          <w:p w:rsidR="00B643F1" w:rsidRDefault="00755617" w:rsidP="00230DB7">
            <w:pPr>
              <w:contextualSpacing/>
            </w:pPr>
            <w:r>
              <w:t>Omitted reference to stay-at-home</w:t>
            </w:r>
          </w:p>
          <w:p w:rsidR="00755617" w:rsidRDefault="00755617" w:rsidP="00230DB7">
            <w:pPr>
              <w:contextualSpacing/>
            </w:pPr>
            <w:r>
              <w:t xml:space="preserve">Plan; added communication </w:t>
            </w:r>
          </w:p>
          <w:p w:rsidR="00755617" w:rsidRDefault="00755617" w:rsidP="00230DB7">
            <w:pPr>
              <w:contextualSpacing/>
            </w:pPr>
            <w:r>
              <w:t>requirement</w:t>
            </w:r>
          </w:p>
        </w:tc>
        <w:tc>
          <w:tcPr>
            <w:tcW w:w="0" w:type="auto"/>
          </w:tcPr>
          <w:p w:rsidR="00B643F1" w:rsidRDefault="00B643F1" w:rsidP="00230DB7">
            <w:pPr>
              <w:contextualSpacing/>
            </w:pPr>
          </w:p>
          <w:p w:rsidR="00755617" w:rsidRDefault="00163B97" w:rsidP="00230DB7">
            <w:pPr>
              <w:contextualSpacing/>
            </w:pPr>
            <w:r>
              <w:t>SPPOT/EOC Exec</w:t>
            </w:r>
          </w:p>
        </w:tc>
      </w:tr>
      <w:tr w:rsidR="00196F82" w:rsidTr="00B643F1">
        <w:tc>
          <w:tcPr>
            <w:tcW w:w="0" w:type="auto"/>
          </w:tcPr>
          <w:p w:rsidR="00B643F1" w:rsidRDefault="00755617" w:rsidP="00230DB7">
            <w:pPr>
              <w:contextualSpacing/>
            </w:pPr>
            <w:r>
              <w:t>6/29/2020</w:t>
            </w:r>
          </w:p>
        </w:tc>
        <w:tc>
          <w:tcPr>
            <w:tcW w:w="0" w:type="auto"/>
          </w:tcPr>
          <w:p w:rsidR="00B643F1" w:rsidRDefault="00755617" w:rsidP="00230DB7">
            <w:pPr>
              <w:contextualSpacing/>
            </w:pPr>
            <w:r>
              <w:t>II.A.3</w:t>
            </w:r>
          </w:p>
        </w:tc>
        <w:tc>
          <w:tcPr>
            <w:tcW w:w="0" w:type="auto"/>
          </w:tcPr>
          <w:p w:rsidR="00B643F1" w:rsidRDefault="00755617" w:rsidP="00230DB7">
            <w:pPr>
              <w:contextualSpacing/>
            </w:pPr>
            <w:r>
              <w:t>Added approval process for RTS</w:t>
            </w:r>
          </w:p>
          <w:p w:rsidR="00755617" w:rsidRDefault="00755617" w:rsidP="00230DB7">
            <w:pPr>
              <w:contextualSpacing/>
            </w:pPr>
            <w:r>
              <w:t>Substantive revisions</w:t>
            </w:r>
          </w:p>
        </w:tc>
        <w:tc>
          <w:tcPr>
            <w:tcW w:w="0" w:type="auto"/>
          </w:tcPr>
          <w:p w:rsidR="00B643F1" w:rsidRDefault="00163B97" w:rsidP="00230DB7">
            <w:pPr>
              <w:contextualSpacing/>
            </w:pPr>
            <w:r>
              <w:t>SPPOT/EOC Exec</w:t>
            </w:r>
          </w:p>
        </w:tc>
      </w:tr>
      <w:tr w:rsidR="00196F82" w:rsidTr="00B643F1">
        <w:tc>
          <w:tcPr>
            <w:tcW w:w="0" w:type="auto"/>
          </w:tcPr>
          <w:p w:rsidR="00B643F1" w:rsidRDefault="00755617" w:rsidP="00230DB7">
            <w:pPr>
              <w:contextualSpacing/>
            </w:pPr>
            <w:r>
              <w:t>6/29/2020</w:t>
            </w:r>
          </w:p>
          <w:p w:rsidR="008C2F09" w:rsidRDefault="008C2F09" w:rsidP="00230DB7">
            <w:pPr>
              <w:contextualSpacing/>
            </w:pPr>
            <w:r>
              <w:t>7/2/2020</w:t>
            </w:r>
          </w:p>
        </w:tc>
        <w:tc>
          <w:tcPr>
            <w:tcW w:w="0" w:type="auto"/>
          </w:tcPr>
          <w:p w:rsidR="00B643F1" w:rsidRDefault="00755617" w:rsidP="00230DB7">
            <w:pPr>
              <w:contextualSpacing/>
            </w:pPr>
            <w:r>
              <w:t>IV Intro</w:t>
            </w:r>
          </w:p>
        </w:tc>
        <w:tc>
          <w:tcPr>
            <w:tcW w:w="0" w:type="auto"/>
          </w:tcPr>
          <w:p w:rsidR="00B643F1" w:rsidRDefault="00755617" w:rsidP="00230DB7">
            <w:pPr>
              <w:contextualSpacing/>
            </w:pPr>
            <w:r>
              <w:t>Added University transportation</w:t>
            </w:r>
          </w:p>
          <w:p w:rsidR="00755617" w:rsidRDefault="00477BD0" w:rsidP="00230DB7">
            <w:pPr>
              <w:contextualSpacing/>
            </w:pPr>
            <w:r>
              <w:t>t</w:t>
            </w:r>
            <w:r w:rsidR="00755617">
              <w:t>o masking requirements</w:t>
            </w:r>
            <w:r>
              <w:t xml:space="preserve">; moved </w:t>
            </w:r>
          </w:p>
          <w:p w:rsidR="00477BD0" w:rsidRDefault="00477BD0" w:rsidP="00230DB7">
            <w:pPr>
              <w:contextualSpacing/>
            </w:pPr>
            <w:r>
              <w:t>text from footnote to policy re: those</w:t>
            </w:r>
          </w:p>
          <w:p w:rsidR="00477BD0" w:rsidRDefault="00477BD0" w:rsidP="00230DB7">
            <w:pPr>
              <w:contextualSpacing/>
            </w:pPr>
            <w:r>
              <w:t>who say they cannot wear a mask</w:t>
            </w:r>
          </w:p>
        </w:tc>
        <w:tc>
          <w:tcPr>
            <w:tcW w:w="0" w:type="auto"/>
          </w:tcPr>
          <w:p w:rsidR="00B643F1" w:rsidRDefault="00163B97" w:rsidP="00230DB7">
            <w:pPr>
              <w:contextualSpacing/>
            </w:pPr>
            <w:r>
              <w:t>SPPOT/EOC Exec</w:t>
            </w:r>
          </w:p>
        </w:tc>
      </w:tr>
      <w:tr w:rsidR="00196F82" w:rsidTr="00B643F1">
        <w:tc>
          <w:tcPr>
            <w:tcW w:w="0" w:type="auto"/>
          </w:tcPr>
          <w:p w:rsidR="00B643F1" w:rsidRDefault="00755617" w:rsidP="00230DB7">
            <w:pPr>
              <w:contextualSpacing/>
            </w:pPr>
            <w:r>
              <w:t>6/29/2020</w:t>
            </w:r>
          </w:p>
        </w:tc>
        <w:tc>
          <w:tcPr>
            <w:tcW w:w="0" w:type="auto"/>
          </w:tcPr>
          <w:p w:rsidR="00B643F1" w:rsidRDefault="00755617" w:rsidP="00230DB7">
            <w:pPr>
              <w:contextualSpacing/>
            </w:pPr>
            <w:r>
              <w:t>IV.B</w:t>
            </w:r>
          </w:p>
        </w:tc>
        <w:tc>
          <w:tcPr>
            <w:tcW w:w="0" w:type="auto"/>
          </w:tcPr>
          <w:p w:rsidR="00755617" w:rsidRDefault="00755617" w:rsidP="00230DB7">
            <w:pPr>
              <w:contextualSpacing/>
            </w:pPr>
            <w:r>
              <w:t xml:space="preserve">Added language re: patients and </w:t>
            </w:r>
          </w:p>
          <w:p w:rsidR="00755617" w:rsidRDefault="00755617" w:rsidP="00230DB7">
            <w:pPr>
              <w:contextualSpacing/>
            </w:pPr>
            <w:r>
              <w:t>guests to bring own masks</w:t>
            </w:r>
          </w:p>
        </w:tc>
        <w:tc>
          <w:tcPr>
            <w:tcW w:w="0" w:type="auto"/>
          </w:tcPr>
          <w:p w:rsidR="00B643F1" w:rsidRDefault="00163B97" w:rsidP="00230DB7">
            <w:pPr>
              <w:contextualSpacing/>
            </w:pPr>
            <w:r>
              <w:t>SPPOT/EOC Exec</w:t>
            </w:r>
          </w:p>
        </w:tc>
      </w:tr>
      <w:tr w:rsidR="00196F82" w:rsidTr="00B643F1">
        <w:tc>
          <w:tcPr>
            <w:tcW w:w="0" w:type="auto"/>
          </w:tcPr>
          <w:p w:rsidR="00B643F1" w:rsidRDefault="00755617" w:rsidP="00230DB7">
            <w:pPr>
              <w:contextualSpacing/>
            </w:pPr>
            <w:r>
              <w:t>6/29/2020</w:t>
            </w:r>
          </w:p>
        </w:tc>
        <w:tc>
          <w:tcPr>
            <w:tcW w:w="0" w:type="auto"/>
          </w:tcPr>
          <w:p w:rsidR="00B643F1" w:rsidRDefault="00755617" w:rsidP="00230DB7">
            <w:pPr>
              <w:contextualSpacing/>
            </w:pPr>
            <w:r>
              <w:t>IV.C</w:t>
            </w:r>
          </w:p>
        </w:tc>
        <w:tc>
          <w:tcPr>
            <w:tcW w:w="0" w:type="auto"/>
          </w:tcPr>
          <w:p w:rsidR="00B643F1" w:rsidRDefault="00755617" w:rsidP="00230DB7">
            <w:pPr>
              <w:contextualSpacing/>
            </w:pPr>
            <w:r>
              <w:t>Added language re: vendors and</w:t>
            </w:r>
          </w:p>
          <w:p w:rsidR="00755617" w:rsidRDefault="00755617" w:rsidP="00230DB7">
            <w:pPr>
              <w:contextualSpacing/>
            </w:pPr>
            <w:r>
              <w:t>Others to bring own masks</w:t>
            </w:r>
          </w:p>
        </w:tc>
        <w:tc>
          <w:tcPr>
            <w:tcW w:w="0" w:type="auto"/>
          </w:tcPr>
          <w:p w:rsidR="00B643F1" w:rsidRDefault="00163B97" w:rsidP="00230DB7">
            <w:pPr>
              <w:contextualSpacing/>
            </w:pPr>
            <w:r>
              <w:t>SPPOT/EOC Exec</w:t>
            </w:r>
          </w:p>
        </w:tc>
      </w:tr>
      <w:tr w:rsidR="00196F82" w:rsidTr="00B643F1">
        <w:tc>
          <w:tcPr>
            <w:tcW w:w="0" w:type="auto"/>
          </w:tcPr>
          <w:p w:rsidR="00B643F1" w:rsidRDefault="00755617" w:rsidP="00230DB7">
            <w:pPr>
              <w:contextualSpacing/>
            </w:pPr>
            <w:r>
              <w:t>6/29/2020</w:t>
            </w:r>
          </w:p>
        </w:tc>
        <w:tc>
          <w:tcPr>
            <w:tcW w:w="0" w:type="auto"/>
          </w:tcPr>
          <w:p w:rsidR="00B643F1" w:rsidRDefault="00755617" w:rsidP="00230DB7">
            <w:pPr>
              <w:contextualSpacing/>
            </w:pPr>
            <w:r>
              <w:t>V.B.1</w:t>
            </w:r>
          </w:p>
        </w:tc>
        <w:tc>
          <w:tcPr>
            <w:tcW w:w="0" w:type="auto"/>
          </w:tcPr>
          <w:p w:rsidR="00B643F1" w:rsidRDefault="00755617" w:rsidP="00230DB7">
            <w:pPr>
              <w:contextualSpacing/>
            </w:pPr>
            <w:r>
              <w:t xml:space="preserve">Increased passenger number from </w:t>
            </w:r>
          </w:p>
          <w:p w:rsidR="00755617" w:rsidRDefault="00755617" w:rsidP="00230DB7">
            <w:pPr>
              <w:contextualSpacing/>
            </w:pPr>
            <w:r>
              <w:t>two to four</w:t>
            </w:r>
          </w:p>
        </w:tc>
        <w:tc>
          <w:tcPr>
            <w:tcW w:w="0" w:type="auto"/>
          </w:tcPr>
          <w:p w:rsidR="00B643F1" w:rsidRDefault="00163B97" w:rsidP="00230DB7">
            <w:pPr>
              <w:contextualSpacing/>
            </w:pPr>
            <w:r>
              <w:t>SPPOT/EOC Exec</w:t>
            </w:r>
          </w:p>
        </w:tc>
      </w:tr>
      <w:tr w:rsidR="004E7E97" w:rsidTr="00B643F1">
        <w:tc>
          <w:tcPr>
            <w:tcW w:w="0" w:type="auto"/>
          </w:tcPr>
          <w:p w:rsidR="004E7E97" w:rsidRDefault="008C2F09" w:rsidP="00230DB7">
            <w:pPr>
              <w:contextualSpacing/>
            </w:pPr>
            <w:r>
              <w:t>7/2</w:t>
            </w:r>
            <w:r w:rsidR="004E7E97">
              <w:t>/2020</w:t>
            </w:r>
          </w:p>
        </w:tc>
        <w:tc>
          <w:tcPr>
            <w:tcW w:w="0" w:type="auto"/>
          </w:tcPr>
          <w:p w:rsidR="004E7E97" w:rsidRDefault="004E7E97" w:rsidP="00230DB7">
            <w:pPr>
              <w:contextualSpacing/>
            </w:pPr>
            <w:r>
              <w:t>VIII.A.4</w:t>
            </w:r>
          </w:p>
        </w:tc>
        <w:tc>
          <w:tcPr>
            <w:tcW w:w="0" w:type="auto"/>
          </w:tcPr>
          <w:p w:rsidR="00344FDD" w:rsidRDefault="00344FDD" w:rsidP="00230DB7">
            <w:pPr>
              <w:contextualSpacing/>
            </w:pPr>
            <w:r>
              <w:t xml:space="preserve">Revised to include gatherings and to </w:t>
            </w:r>
          </w:p>
          <w:p w:rsidR="00344FDD" w:rsidRDefault="00344FDD" w:rsidP="00230DB7">
            <w:pPr>
              <w:contextualSpacing/>
            </w:pPr>
            <w:r>
              <w:t>define event, venue, and group size</w:t>
            </w:r>
          </w:p>
          <w:p w:rsidR="00344FDD" w:rsidRDefault="00344FDD" w:rsidP="00230DB7">
            <w:pPr>
              <w:contextualSpacing/>
            </w:pPr>
            <w:r>
              <w:t>as 10 or more people and to exclude</w:t>
            </w:r>
          </w:p>
          <w:p w:rsidR="004E7E97" w:rsidRDefault="00344FDD" w:rsidP="00230DB7">
            <w:pPr>
              <w:contextualSpacing/>
            </w:pPr>
            <w:r>
              <w:t>household members from the 10</w:t>
            </w:r>
            <w:r w:rsidR="004E7E97">
              <w:t xml:space="preserve"> </w:t>
            </w:r>
          </w:p>
        </w:tc>
        <w:tc>
          <w:tcPr>
            <w:tcW w:w="0" w:type="auto"/>
          </w:tcPr>
          <w:p w:rsidR="004E7E97" w:rsidRDefault="004E7E97" w:rsidP="00230DB7">
            <w:pPr>
              <w:contextualSpacing/>
            </w:pPr>
            <w:r>
              <w:t>SPPOT/EOC Exec</w:t>
            </w:r>
          </w:p>
        </w:tc>
      </w:tr>
      <w:tr w:rsidR="004E7E97" w:rsidTr="00B643F1">
        <w:tc>
          <w:tcPr>
            <w:tcW w:w="0" w:type="auto"/>
          </w:tcPr>
          <w:p w:rsidR="004E7E97" w:rsidRDefault="004E7E97" w:rsidP="00230DB7">
            <w:pPr>
              <w:contextualSpacing/>
            </w:pPr>
            <w:r>
              <w:t>6/29/2020</w:t>
            </w:r>
          </w:p>
        </w:tc>
        <w:tc>
          <w:tcPr>
            <w:tcW w:w="0" w:type="auto"/>
          </w:tcPr>
          <w:p w:rsidR="004E7E97" w:rsidRDefault="004E7E97" w:rsidP="00230DB7">
            <w:pPr>
              <w:contextualSpacing/>
            </w:pPr>
            <w:r>
              <w:t>VIII.A.7</w:t>
            </w:r>
          </w:p>
        </w:tc>
        <w:tc>
          <w:tcPr>
            <w:tcW w:w="0" w:type="auto"/>
          </w:tcPr>
          <w:p w:rsidR="004E7E97" w:rsidRDefault="004E7E97" w:rsidP="00230DB7">
            <w:pPr>
              <w:contextualSpacing/>
            </w:pPr>
            <w:r>
              <w:t>Added new Positive Test section</w:t>
            </w:r>
          </w:p>
        </w:tc>
        <w:tc>
          <w:tcPr>
            <w:tcW w:w="0" w:type="auto"/>
          </w:tcPr>
          <w:p w:rsidR="004E7E97" w:rsidRDefault="004E7E97" w:rsidP="00230DB7">
            <w:pPr>
              <w:contextualSpacing/>
            </w:pPr>
            <w:r>
              <w:t>SPPOT/EOC Exec</w:t>
            </w:r>
          </w:p>
        </w:tc>
      </w:tr>
      <w:tr w:rsidR="00196F82" w:rsidTr="00B643F1">
        <w:tc>
          <w:tcPr>
            <w:tcW w:w="0" w:type="auto"/>
          </w:tcPr>
          <w:p w:rsidR="00B643F1" w:rsidRDefault="00755617" w:rsidP="00230DB7">
            <w:pPr>
              <w:contextualSpacing/>
            </w:pPr>
            <w:r>
              <w:t>6/29/2020</w:t>
            </w:r>
          </w:p>
        </w:tc>
        <w:tc>
          <w:tcPr>
            <w:tcW w:w="0" w:type="auto"/>
          </w:tcPr>
          <w:p w:rsidR="00B643F1" w:rsidRDefault="006D367A" w:rsidP="00230DB7">
            <w:pPr>
              <w:contextualSpacing/>
            </w:pPr>
            <w:r>
              <w:t>IX</w:t>
            </w:r>
          </w:p>
        </w:tc>
        <w:tc>
          <w:tcPr>
            <w:tcW w:w="0" w:type="auto"/>
          </w:tcPr>
          <w:p w:rsidR="006D367A" w:rsidRDefault="006D367A" w:rsidP="00230DB7">
            <w:pPr>
              <w:contextualSpacing/>
            </w:pPr>
            <w:r>
              <w:t>Omitted paragraph B</w:t>
            </w:r>
          </w:p>
        </w:tc>
        <w:tc>
          <w:tcPr>
            <w:tcW w:w="0" w:type="auto"/>
          </w:tcPr>
          <w:p w:rsidR="00B643F1" w:rsidRDefault="00163B97" w:rsidP="00230DB7">
            <w:pPr>
              <w:contextualSpacing/>
            </w:pPr>
            <w:r>
              <w:t>SPPOT/EOC Exec</w:t>
            </w:r>
          </w:p>
        </w:tc>
      </w:tr>
      <w:tr w:rsidR="00196F82" w:rsidTr="00B643F1">
        <w:tc>
          <w:tcPr>
            <w:tcW w:w="0" w:type="auto"/>
          </w:tcPr>
          <w:p w:rsidR="00B643F1" w:rsidRDefault="006D367A" w:rsidP="00230DB7">
            <w:pPr>
              <w:contextualSpacing/>
            </w:pPr>
            <w:r>
              <w:t>6/29/2020</w:t>
            </w:r>
          </w:p>
        </w:tc>
        <w:tc>
          <w:tcPr>
            <w:tcW w:w="0" w:type="auto"/>
          </w:tcPr>
          <w:p w:rsidR="00B643F1" w:rsidRDefault="006D367A" w:rsidP="00230DB7">
            <w:pPr>
              <w:contextualSpacing/>
            </w:pPr>
            <w:r>
              <w:t>X.A-B</w:t>
            </w:r>
          </w:p>
        </w:tc>
        <w:tc>
          <w:tcPr>
            <w:tcW w:w="0" w:type="auto"/>
          </w:tcPr>
          <w:p w:rsidR="006D367A" w:rsidRDefault="006D367A" w:rsidP="006D367A">
            <w:pPr>
              <w:contextualSpacing/>
            </w:pPr>
            <w:r>
              <w:t xml:space="preserve">Added new section requiring </w:t>
            </w:r>
          </w:p>
          <w:p w:rsidR="008C2F09" w:rsidRDefault="006D367A" w:rsidP="006D367A">
            <w:pPr>
              <w:contextualSpacing/>
            </w:pPr>
            <w:r>
              <w:t xml:space="preserve">training at the EOC and </w:t>
            </w:r>
            <w:r w:rsidR="008C2F09">
              <w:t xml:space="preserve">at the </w:t>
            </w:r>
          </w:p>
          <w:p w:rsidR="00B643F1" w:rsidRDefault="006D367A" w:rsidP="006D367A">
            <w:pPr>
              <w:contextualSpacing/>
            </w:pPr>
            <w:r>
              <w:t>department</w:t>
            </w:r>
            <w:r w:rsidR="008C2F09">
              <w:t xml:space="preserve"> </w:t>
            </w:r>
            <w:r>
              <w:t>level</w:t>
            </w:r>
          </w:p>
        </w:tc>
        <w:tc>
          <w:tcPr>
            <w:tcW w:w="0" w:type="auto"/>
          </w:tcPr>
          <w:p w:rsidR="00B643F1" w:rsidRDefault="00163B97" w:rsidP="00230DB7">
            <w:pPr>
              <w:contextualSpacing/>
            </w:pPr>
            <w:r>
              <w:t>SPPOT/EOC Exec</w:t>
            </w: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r w:rsidR="00196F82" w:rsidTr="00B643F1">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c>
          <w:tcPr>
            <w:tcW w:w="0" w:type="auto"/>
          </w:tcPr>
          <w:p w:rsidR="00B643F1" w:rsidRDefault="00B643F1" w:rsidP="00230DB7">
            <w:pPr>
              <w:contextualSpacing/>
            </w:pPr>
          </w:p>
        </w:tc>
      </w:tr>
    </w:tbl>
    <w:p w:rsidR="00B643F1" w:rsidRDefault="00B643F1" w:rsidP="00230DB7">
      <w:pPr>
        <w:contextualSpacing/>
      </w:pPr>
    </w:p>
    <w:sectPr w:rsidR="00B643F1">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9A" w:rsidRDefault="003F549A" w:rsidP="00EF394A">
      <w:pPr>
        <w:spacing w:after="0" w:line="240" w:lineRule="auto"/>
      </w:pPr>
      <w:r>
        <w:separator/>
      </w:r>
    </w:p>
  </w:endnote>
  <w:endnote w:type="continuationSeparator" w:id="0">
    <w:p w:rsidR="003F549A" w:rsidRDefault="003F549A" w:rsidP="00EF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62633"/>
      <w:docPartObj>
        <w:docPartGallery w:val="Page Numbers (Bottom of Page)"/>
        <w:docPartUnique/>
      </w:docPartObj>
    </w:sdtPr>
    <w:sdtEndPr>
      <w:rPr>
        <w:noProof/>
      </w:rPr>
    </w:sdtEndPr>
    <w:sdtContent>
      <w:p w:rsidR="00A34D52" w:rsidRDefault="00A34D52">
        <w:pPr>
          <w:pStyle w:val="Footer"/>
          <w:jc w:val="center"/>
        </w:pPr>
        <w:r>
          <w:fldChar w:fldCharType="begin"/>
        </w:r>
        <w:r>
          <w:instrText xml:space="preserve"> PAGE   \* MERGEFORMAT </w:instrText>
        </w:r>
        <w:r>
          <w:fldChar w:fldCharType="separate"/>
        </w:r>
        <w:r w:rsidR="007C4635">
          <w:rPr>
            <w:noProof/>
          </w:rPr>
          <w:t>10</w:t>
        </w:r>
        <w:r>
          <w:rPr>
            <w:noProof/>
          </w:rPr>
          <w:fldChar w:fldCharType="end"/>
        </w:r>
      </w:p>
    </w:sdtContent>
  </w:sdt>
  <w:p w:rsidR="00A34D52" w:rsidRDefault="00A3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9A" w:rsidRDefault="003F549A" w:rsidP="00EF394A">
      <w:pPr>
        <w:spacing w:after="0" w:line="240" w:lineRule="auto"/>
      </w:pPr>
      <w:r>
        <w:separator/>
      </w:r>
    </w:p>
  </w:footnote>
  <w:footnote w:type="continuationSeparator" w:id="0">
    <w:p w:rsidR="003F549A" w:rsidRDefault="003F549A" w:rsidP="00EF394A">
      <w:pPr>
        <w:spacing w:after="0" w:line="240" w:lineRule="auto"/>
      </w:pPr>
      <w:r>
        <w:continuationSeparator/>
      </w:r>
    </w:p>
  </w:footnote>
  <w:footnote w:id="1">
    <w:p w:rsidR="00CB01F2" w:rsidRDefault="00CB01F2" w:rsidP="00F664BD">
      <w:r>
        <w:rPr>
          <w:rStyle w:val="FootnoteReference"/>
        </w:rPr>
        <w:footnoteRef/>
      </w:r>
      <w:r w:rsidRPr="00CB01F2">
        <w:rPr>
          <w:sz w:val="18"/>
          <w:szCs w:val="18"/>
        </w:rPr>
        <w:t xml:space="preserve"> Effective June 18, 2020,</w:t>
      </w:r>
      <w:r w:rsidR="00196F82">
        <w:rPr>
          <w:sz w:val="18"/>
          <w:szCs w:val="18"/>
        </w:rPr>
        <w:t xml:space="preserve"> </w:t>
      </w:r>
      <w:r w:rsidRPr="00CB01F2">
        <w:rPr>
          <w:sz w:val="18"/>
          <w:szCs w:val="18"/>
        </w:rPr>
        <w:t>revisions to this Plan will be documented on the last page.</w:t>
      </w:r>
      <w:r>
        <w:t xml:space="preserve">  </w:t>
      </w:r>
    </w:p>
  </w:footnote>
  <w:footnote w:id="2">
    <w:p w:rsidR="00F10157" w:rsidRDefault="00F10157">
      <w:pPr>
        <w:pStyle w:val="FootnoteText"/>
      </w:pPr>
      <w:r>
        <w:rPr>
          <w:rStyle w:val="FootnoteReference"/>
        </w:rPr>
        <w:footnoteRef/>
      </w:r>
      <w:r>
        <w:t xml:space="preserve"> If an employee or student indicates compliance with a provision of this Plan is not possible due to medical reasons, the individual should be referred to the appropriate University office to request accommodations on the basis of disability office (Human Resources for employees; Accessibility &amp; Disability Resource Center for students).</w:t>
      </w:r>
    </w:p>
  </w:footnote>
  <w:footnote w:id="3">
    <w:p w:rsidR="0009520E" w:rsidRDefault="0009520E">
      <w:pPr>
        <w:pStyle w:val="FootnoteText"/>
      </w:pPr>
      <w:r>
        <w:rPr>
          <w:rStyle w:val="FootnoteReference"/>
        </w:rPr>
        <w:footnoteRef/>
      </w:r>
      <w:r>
        <w:t xml:space="preserve"> For purposes of this policy, assigned hospital rotation sites are considered to be on-camp</w:t>
      </w:r>
      <w:r w:rsidR="00C77841">
        <w:t>u</w:t>
      </w:r>
      <w:r>
        <w:t>s rotation sites.</w:t>
      </w:r>
    </w:p>
  </w:footnote>
  <w:footnote w:id="4">
    <w:p w:rsidR="00A34D52" w:rsidRDefault="00A34D52" w:rsidP="001005CE">
      <w:pPr>
        <w:pStyle w:val="FootnoteText"/>
      </w:pPr>
      <w:r>
        <w:rPr>
          <w:rStyle w:val="FootnoteReference"/>
        </w:rPr>
        <w:footnoteRef/>
      </w:r>
      <w:r>
        <w:t xml:space="preserve"> Provided, however, that when individuals are in their own enclosed private workspace, are at least 6 feet from others, and are not interacting with others, they may remove their masks.  </w:t>
      </w:r>
    </w:p>
    <w:p w:rsidR="00A34D52" w:rsidRPr="005C57B5" w:rsidRDefault="00A34D52" w:rsidP="001005CE">
      <w:pPr>
        <w:pStyle w:val="FootnoteText"/>
        <w:rPr>
          <w:rFonts w:cstheme="minorHAnsi"/>
        </w:rPr>
      </w:pPr>
    </w:p>
  </w:footnote>
  <w:footnote w:id="5">
    <w:p w:rsidR="00A34D52" w:rsidRDefault="00A34D52">
      <w:pPr>
        <w:pStyle w:val="FootnoteText"/>
      </w:pPr>
      <w:r w:rsidRPr="00A07792">
        <w:rPr>
          <w:rStyle w:val="FootnoteReference"/>
        </w:rPr>
        <w:footnoteRef/>
      </w:r>
      <w:r w:rsidRPr="00A07792">
        <w:t xml:space="preserve"> Reasonable exceptions include patient transport </w:t>
      </w:r>
      <w:r w:rsidR="00A07792">
        <w:t xml:space="preserve">and freight </w:t>
      </w:r>
      <w:r w:rsidRPr="00A07792">
        <w:t>elevators, patients using an elevator with their household members or caregivers, and emergency personnel.</w:t>
      </w:r>
      <w:r w:rsidR="003833A1">
        <w:t xml:space="preserve"> On occasion, it may be appropriate for additional passengers to ride, in order to avoid groups forming while waiting on elevators.</w:t>
      </w:r>
    </w:p>
  </w:footnote>
  <w:footnote w:id="6">
    <w:p w:rsidR="00A34D52" w:rsidRDefault="00A34D52">
      <w:pPr>
        <w:pStyle w:val="FootnoteText"/>
      </w:pPr>
      <w:r>
        <w:rPr>
          <w:rStyle w:val="FootnoteReference"/>
        </w:rPr>
        <w:footnoteRef/>
      </w:r>
      <w:r>
        <w:t xml:space="preserve"> Reasonable exceptions are members of the same household</w:t>
      </w:r>
      <w:r w:rsidR="00263194">
        <w:t xml:space="preserve"> sitting together and patients </w:t>
      </w:r>
      <w:r w:rsidR="00A07792">
        <w:t xml:space="preserve">or students </w:t>
      </w:r>
      <w:r w:rsidR="00263194">
        <w:t>sitting with their caregivers.</w:t>
      </w:r>
    </w:p>
  </w:footnote>
  <w:footnote w:id="7">
    <w:p w:rsidR="00A34D52" w:rsidRDefault="00A34D52" w:rsidP="00802E6B">
      <w:pPr>
        <w:pStyle w:val="FootnoteText"/>
      </w:pPr>
      <w:r>
        <w:rPr>
          <w:rStyle w:val="FootnoteReference"/>
        </w:rPr>
        <w:footnoteRef/>
      </w:r>
      <w:r>
        <w:t xml:space="preserve"> Excludes individuals who live in University Village Apartments (UVA).  If any UVA residents test positive for COVID-19, they are encouraged to contact Joe Schmidt, HSC Student Affairs, at 405-271-2416 for assistance.</w:t>
      </w:r>
    </w:p>
  </w:footnote>
  <w:footnote w:id="8">
    <w:p w:rsidR="00A34D52" w:rsidRPr="003C77EF" w:rsidRDefault="00A34D52" w:rsidP="000B2E18">
      <w:pPr>
        <w:pStyle w:val="NormalWeb"/>
        <w:shd w:val="clear" w:color="auto" w:fill="FFFFFF"/>
        <w:spacing w:before="0" w:beforeAutospacing="0" w:after="0" w:afterAutospacing="0"/>
        <w:textAlignment w:val="baseline"/>
        <w:rPr>
          <w:rFonts w:ascii="Calibri" w:hAnsi="Calibri" w:cs="Calibri"/>
          <w:iCs/>
          <w:sz w:val="20"/>
          <w:szCs w:val="20"/>
        </w:rPr>
      </w:pPr>
      <w:r w:rsidRPr="008362B0">
        <w:rPr>
          <w:rStyle w:val="FootnoteReference"/>
          <w:rFonts w:ascii="Calibri" w:hAnsi="Calibri" w:cs="Calibri"/>
        </w:rPr>
        <w:footnoteRef/>
      </w:r>
      <w:r w:rsidRPr="008362B0">
        <w:rPr>
          <w:rFonts w:ascii="Calibri" w:hAnsi="Calibri" w:cs="Calibri"/>
        </w:rPr>
        <w:t xml:space="preserve"> </w:t>
      </w:r>
      <w:r w:rsidRPr="008362B0">
        <w:rPr>
          <w:rFonts w:ascii="Calibri" w:hAnsi="Calibri" w:cs="Calibri"/>
          <w:b/>
          <w:bCs/>
          <w:iCs/>
          <w:sz w:val="20"/>
          <w:szCs w:val="20"/>
        </w:rPr>
        <w:t>COMMUTER PROCESS</w:t>
      </w:r>
      <w:r w:rsidRPr="008362B0">
        <w:rPr>
          <w:rFonts w:ascii="Calibri" w:hAnsi="Calibri" w:cs="Calibri"/>
          <w:iCs/>
          <w:sz w:val="20"/>
          <w:szCs w:val="20"/>
        </w:rPr>
        <w:t xml:space="preserve"> – If, as part of an individual’s University employment or required academic curriculum, the individual must travel on a daily or similarly regular basis in a personal vehicle (either alone or with other household members) back and forth across Oklahoma state lines, he or she may not be required to complete the Screening and Reporting Tool each time he/she leaves the state (unless they meet one of the other screening and reporting criteria).  For example – A student who lives 10 miles over the Oklahoma border and travels daily in her personal vehicle to an OUHSC assigned clinical experience may not have to complete the Tool with each commute.  Individuals MUST check with their supervisor or student dean for further information regarding an exemption; they will consider factors such as method and frequency of travel, and necessity and origin of travel.  Supervisors/deans must report all approved exemptions to </w:t>
      </w:r>
      <w:hyperlink r:id="rId1" w:history="1">
        <w:r w:rsidR="007C4635" w:rsidRPr="008F3F96">
          <w:rPr>
            <w:rStyle w:val="Hyperlink"/>
            <w:rFonts w:ascii="Calibri" w:hAnsi="Calibri" w:cs="Calibri"/>
            <w:iCs/>
            <w:sz w:val="20"/>
            <w:szCs w:val="20"/>
          </w:rPr>
          <w:t>employeestudenthealth@ouhsc.edu</w:t>
        </w:r>
      </w:hyperlink>
      <w:r w:rsidRPr="00EB30CC">
        <w:rPr>
          <w:rFonts w:ascii="Calibri" w:hAnsi="Calibri" w:cs="Calibri"/>
          <w:iCs/>
          <w:sz w:val="20"/>
          <w:szCs w:val="20"/>
        </w:rPr>
        <w:t>. Those approved must notify Student/Employee Health if they begin experiencing symptoms or if their commuting details change.</w:t>
      </w:r>
    </w:p>
    <w:p w:rsidR="00A34D52" w:rsidRDefault="00A34D52">
      <w:pPr>
        <w:pStyle w:val="FootnoteText"/>
      </w:pPr>
    </w:p>
  </w:footnote>
  <w:footnote w:id="9">
    <w:p w:rsidR="00EB30CC" w:rsidRDefault="00EB30CC" w:rsidP="00EB30CC">
      <w:pPr>
        <w:pStyle w:val="FootnoteText"/>
      </w:pPr>
      <w:r w:rsidRPr="00EB30CC">
        <w:rPr>
          <w:rStyle w:val="FootnoteReference"/>
        </w:rPr>
        <w:footnoteRef/>
      </w:r>
      <w:r w:rsidRPr="00EB30CC">
        <w:t xml:space="preserve"> Third party food vendors, as identified in Section V.A.</w:t>
      </w:r>
      <w:r>
        <w:t>3</w:t>
      </w:r>
      <w:r w:rsidRPr="00EB30CC">
        <w:t xml:space="preserve"> above, </w:t>
      </w:r>
      <w:r>
        <w:t xml:space="preserve">and other vendors </w:t>
      </w:r>
      <w:r w:rsidRPr="00EB30CC">
        <w:t>who are on campus</w:t>
      </w:r>
      <w:r>
        <w:t xml:space="preserve"> solely</w:t>
      </w:r>
      <w:r w:rsidRPr="00EB30CC">
        <w:t xml:space="preserve"> to </w:t>
      </w:r>
      <w:r>
        <w:t xml:space="preserve">make </w:t>
      </w:r>
      <w:r w:rsidRPr="00EB30CC">
        <w:t>deliver</w:t>
      </w:r>
      <w:r>
        <w:t xml:space="preserve">ies </w:t>
      </w:r>
      <w:r w:rsidR="000033BB">
        <w:t xml:space="preserve">or perform outdoor services </w:t>
      </w:r>
      <w:r w:rsidRPr="00EB30CC">
        <w:t>are not required to complete the Tool.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CCD"/>
    <w:multiLevelType w:val="hybridMultilevel"/>
    <w:tmpl w:val="AB345BE8"/>
    <w:lvl w:ilvl="0" w:tplc="A5E4A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A1E0AE18">
      <w:start w:val="1"/>
      <w:numFmt w:val="upp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6C5C69CC">
      <w:start w:val="1"/>
      <w:numFmt w:val="decimal"/>
      <w:lvlText w:val="%5"/>
      <w:lvlJc w:val="left"/>
      <w:pPr>
        <w:ind w:left="3600" w:hanging="360"/>
      </w:pPr>
      <w:rPr>
        <w:rFonts w:asciiTheme="minorHAnsi" w:eastAsiaTheme="minorHAnsi" w:hAnsiTheme="minorHAns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6D8D"/>
    <w:multiLevelType w:val="hybridMultilevel"/>
    <w:tmpl w:val="7B20FA24"/>
    <w:lvl w:ilvl="0" w:tplc="93965C96">
      <w:start w:val="1"/>
      <w:numFmt w:val="upperLetter"/>
      <w:lvlText w:val="%1."/>
      <w:lvlJc w:val="left"/>
      <w:pPr>
        <w:ind w:left="1170" w:hanging="360"/>
      </w:pPr>
      <w:rPr>
        <w:rFonts w:hint="default"/>
      </w:rPr>
    </w:lvl>
    <w:lvl w:ilvl="1" w:tplc="9A0427BC">
      <w:start w:val="1"/>
      <w:numFmt w:val="decimal"/>
      <w:lvlText w:val="%2."/>
      <w:lvlJc w:val="left"/>
      <w:pPr>
        <w:ind w:left="2160" w:hanging="360"/>
      </w:pPr>
      <w:rPr>
        <w:rFonts w:asciiTheme="minorHAnsi" w:eastAsiaTheme="minorHAnsi" w:hAnsiTheme="minorHAnsi" w:cstheme="minorBidi"/>
      </w:rPr>
    </w:lvl>
    <w:lvl w:ilvl="2" w:tplc="4B00A18A">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FAD0B5E0">
      <w:start w:val="1"/>
      <w:numFmt w:val="decimal"/>
      <w:lvlText w:val="%5."/>
      <w:lvlJc w:val="left"/>
      <w:pPr>
        <w:ind w:left="4320" w:hanging="360"/>
      </w:pPr>
      <w:rPr>
        <w:rFonts w:asciiTheme="minorHAnsi" w:eastAsiaTheme="minorHAnsi" w:hAnsiTheme="minorHAnsi" w:cstheme="minorBidi"/>
      </w:rPr>
    </w:lvl>
    <w:lvl w:ilvl="5" w:tplc="0409001B">
      <w:start w:val="1"/>
      <w:numFmt w:val="lowerRoman"/>
      <w:lvlText w:val="%6."/>
      <w:lvlJc w:val="right"/>
      <w:pPr>
        <w:ind w:left="5040" w:hanging="180"/>
      </w:pPr>
    </w:lvl>
    <w:lvl w:ilvl="6" w:tplc="04090015">
      <w:start w:val="1"/>
      <w:numFmt w:val="upperLetter"/>
      <w:lvlText w:val="%7."/>
      <w:lvlJc w:val="left"/>
      <w:pPr>
        <w:ind w:left="5760" w:hanging="360"/>
      </w:pPr>
    </w:lvl>
    <w:lvl w:ilvl="7" w:tplc="0409000F">
      <w:start w:val="1"/>
      <w:numFmt w:val="decimal"/>
      <w:lvlText w:val="%8."/>
      <w:lvlJc w:val="left"/>
      <w:pPr>
        <w:ind w:left="6480" w:hanging="360"/>
      </w:pPr>
    </w:lvl>
    <w:lvl w:ilvl="8" w:tplc="7F3EF378">
      <w:start w:val="1"/>
      <w:numFmt w:val="upperLetter"/>
      <w:lvlText w:val="%9."/>
      <w:lvlJc w:val="right"/>
      <w:pPr>
        <w:ind w:left="1530" w:hanging="180"/>
      </w:pPr>
      <w:rPr>
        <w:rFonts w:asciiTheme="minorHAnsi" w:eastAsiaTheme="minorHAnsi" w:hAnsiTheme="minorHAnsi" w:cstheme="minorBidi"/>
        <w:i w:val="0"/>
      </w:rPr>
    </w:lvl>
  </w:abstractNum>
  <w:abstractNum w:abstractNumId="2" w15:restartNumberingAfterBreak="0">
    <w:nsid w:val="06ED57EB"/>
    <w:multiLevelType w:val="hybridMultilevel"/>
    <w:tmpl w:val="180E4ADC"/>
    <w:lvl w:ilvl="0" w:tplc="F28ED458">
      <w:start w:val="1"/>
      <w:numFmt w:val="upperLetter"/>
      <w:lvlText w:val="%1."/>
      <w:lvlJc w:val="left"/>
      <w:pPr>
        <w:ind w:left="2520" w:hanging="360"/>
      </w:pPr>
      <w:rPr>
        <w:rFonts w:hint="default"/>
      </w:rPr>
    </w:lvl>
    <w:lvl w:ilvl="1" w:tplc="EEBC4F26">
      <w:start w:val="1"/>
      <w:numFmt w:val="decimal"/>
      <w:lvlText w:val="%2."/>
      <w:lvlJc w:val="left"/>
      <w:pPr>
        <w:ind w:left="3240" w:hanging="360"/>
      </w:pPr>
      <w:rPr>
        <w:rFonts w:asciiTheme="minorHAnsi" w:eastAsiaTheme="minorHAnsi" w:hAnsiTheme="minorHAnsi" w:cstheme="minorBidi"/>
      </w:rPr>
    </w:lvl>
    <w:lvl w:ilvl="2" w:tplc="3B0EFD58">
      <w:start w:val="11"/>
      <w:numFmt w:val="upperRoman"/>
      <w:lvlText w:val="%3."/>
      <w:lvlJc w:val="left"/>
      <w:pPr>
        <w:ind w:left="4500" w:hanging="720"/>
      </w:pPr>
      <w:rPr>
        <w:rFonts w:hint="default"/>
        <w:b/>
      </w:rPr>
    </w:lvl>
    <w:lvl w:ilvl="3" w:tplc="0409000F">
      <w:start w:val="1"/>
      <w:numFmt w:val="decimal"/>
      <w:lvlText w:val="%4."/>
      <w:lvlJc w:val="left"/>
      <w:pPr>
        <w:ind w:left="4680" w:hanging="360"/>
      </w:pPr>
    </w:lvl>
    <w:lvl w:ilvl="4" w:tplc="F4086E96">
      <w:start w:val="1"/>
      <w:numFmt w:val="decimal"/>
      <w:lvlText w:val="%5."/>
      <w:lvlJc w:val="left"/>
      <w:pPr>
        <w:ind w:left="5400" w:hanging="360"/>
      </w:pPr>
      <w:rPr>
        <w:rFonts w:asciiTheme="minorHAnsi" w:eastAsiaTheme="minorHAnsi" w:hAnsiTheme="minorHAnsi" w:cstheme="minorBidi"/>
      </w:rPr>
    </w:lvl>
    <w:lvl w:ilvl="5" w:tplc="0F2C5498">
      <w:start w:val="1"/>
      <w:numFmt w:val="lowerLetter"/>
      <w:lvlText w:val="%6."/>
      <w:lvlJc w:val="right"/>
      <w:pPr>
        <w:ind w:left="6120" w:hanging="180"/>
      </w:pPr>
      <w:rPr>
        <w:rFonts w:asciiTheme="minorHAnsi" w:eastAsiaTheme="minorHAnsi" w:hAnsiTheme="minorHAnsi" w:cstheme="minorBidi"/>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F74B76"/>
    <w:multiLevelType w:val="hybridMultilevel"/>
    <w:tmpl w:val="7EFAB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249F0"/>
    <w:multiLevelType w:val="hybridMultilevel"/>
    <w:tmpl w:val="0666D622"/>
    <w:lvl w:ilvl="0" w:tplc="7EF894C2">
      <w:start w:val="1"/>
      <w:numFmt w:val="upp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684E7F"/>
    <w:multiLevelType w:val="hybridMultilevel"/>
    <w:tmpl w:val="ADD8A1C0"/>
    <w:lvl w:ilvl="0" w:tplc="A5E4A882">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40C33A">
      <w:start w:val="1"/>
      <w:numFmt w:val="upperLetter"/>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05D67"/>
    <w:multiLevelType w:val="hybridMultilevel"/>
    <w:tmpl w:val="12745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E1307"/>
    <w:multiLevelType w:val="hybridMultilevel"/>
    <w:tmpl w:val="4D1EF958"/>
    <w:lvl w:ilvl="0" w:tplc="48263E86">
      <w:start w:val="2"/>
      <w:numFmt w:val="upperLetter"/>
      <w:lvlText w:val="%1."/>
      <w:lvlJc w:val="left"/>
      <w:pPr>
        <w:ind w:left="108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540" w:hanging="180"/>
      </w:pPr>
    </w:lvl>
  </w:abstractNum>
  <w:abstractNum w:abstractNumId="8" w15:restartNumberingAfterBreak="0">
    <w:nsid w:val="0F2F22C8"/>
    <w:multiLevelType w:val="hybridMultilevel"/>
    <w:tmpl w:val="3B9C5D40"/>
    <w:lvl w:ilvl="0" w:tplc="D974EA9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41272"/>
    <w:multiLevelType w:val="hybridMultilevel"/>
    <w:tmpl w:val="17A44EE6"/>
    <w:lvl w:ilvl="0" w:tplc="009EE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3439F5"/>
    <w:multiLevelType w:val="hybridMultilevel"/>
    <w:tmpl w:val="0BD66B06"/>
    <w:lvl w:ilvl="0" w:tplc="1D221188">
      <w:start w:val="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515210CC">
      <w:start w:val="1"/>
      <w:numFmt w:val="lowerRoman"/>
      <w:lvlText w:val="%4."/>
      <w:lvlJc w:val="left"/>
      <w:pPr>
        <w:ind w:left="4500" w:hanging="360"/>
      </w:pPr>
      <w:rPr>
        <w:rFonts w:asciiTheme="minorHAnsi" w:eastAsiaTheme="minorHAnsi" w:hAnsiTheme="minorHAnsi" w:cstheme="minorBidi"/>
      </w:r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44E2B70"/>
    <w:multiLevelType w:val="hybridMultilevel"/>
    <w:tmpl w:val="6A78E88A"/>
    <w:lvl w:ilvl="0" w:tplc="3C4A484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14971FD2"/>
    <w:multiLevelType w:val="hybridMultilevel"/>
    <w:tmpl w:val="F29E1678"/>
    <w:lvl w:ilvl="0" w:tplc="7C180B9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4E0139A"/>
    <w:multiLevelType w:val="hybridMultilevel"/>
    <w:tmpl w:val="2F7ABD78"/>
    <w:lvl w:ilvl="0" w:tplc="5A667A4C">
      <w:start w:val="1"/>
      <w:numFmt w:val="upperLetter"/>
      <w:lvlText w:val="%1."/>
      <w:lvlJc w:val="left"/>
      <w:pPr>
        <w:ind w:left="1008" w:hanging="360"/>
      </w:pPr>
      <w:rPr>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1AC52E2D"/>
    <w:multiLevelType w:val="hybridMultilevel"/>
    <w:tmpl w:val="43A0C1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6024B7"/>
    <w:multiLevelType w:val="hybridMultilevel"/>
    <w:tmpl w:val="DE0ADCFA"/>
    <w:lvl w:ilvl="0" w:tplc="F72ABEA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FABEE9E8">
      <w:start w:val="1"/>
      <w:numFmt w:val="decimal"/>
      <w:lvlText w:val="%4."/>
      <w:lvlJc w:val="left"/>
      <w:pPr>
        <w:ind w:left="3960" w:hanging="360"/>
      </w:pPr>
      <w:rPr>
        <w:rFonts w:asciiTheme="minorHAnsi" w:eastAsiaTheme="minorHAnsi" w:hAnsiTheme="minorHAnsi" w:cstheme="minorBidi"/>
      </w:rPr>
    </w:lvl>
    <w:lvl w:ilvl="4" w:tplc="E66A04EC">
      <w:start w:val="1"/>
      <w:numFmt w:val="lowerLetter"/>
      <w:lvlText w:val="%5."/>
      <w:lvlJc w:val="left"/>
      <w:pPr>
        <w:ind w:left="4680" w:hanging="360"/>
      </w:pPr>
      <w:rPr>
        <w:rFonts w:asciiTheme="minorHAnsi" w:eastAsiaTheme="minorHAnsi" w:hAnsiTheme="minorHAnsi" w:cstheme="minorBidi"/>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9A7C32"/>
    <w:multiLevelType w:val="multilevel"/>
    <w:tmpl w:val="CAB2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3338FF"/>
    <w:multiLevelType w:val="hybridMultilevel"/>
    <w:tmpl w:val="B0B828C4"/>
    <w:lvl w:ilvl="0" w:tplc="392A8EBC">
      <w:start w:val="3"/>
      <w:numFmt w:val="lowerLetter"/>
      <w:lvlText w:val="%1."/>
      <w:lvlJc w:val="left"/>
      <w:pPr>
        <w:ind w:left="8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A3E43"/>
    <w:multiLevelType w:val="hybridMultilevel"/>
    <w:tmpl w:val="FAC64898"/>
    <w:lvl w:ilvl="0" w:tplc="FFC835D8">
      <w:start w:val="1"/>
      <w:numFmt w:val="upperLetter"/>
      <w:lvlText w:val="%1."/>
      <w:lvlJc w:val="left"/>
      <w:pPr>
        <w:ind w:left="7380" w:hanging="360"/>
      </w:pPr>
      <w:rPr>
        <w:rFonts w:hint="default"/>
      </w:rPr>
    </w:lvl>
    <w:lvl w:ilvl="1" w:tplc="5BAA139A">
      <w:start w:val="1"/>
      <w:numFmt w:val="decimal"/>
      <w:lvlText w:val="%2."/>
      <w:lvlJc w:val="left"/>
      <w:pPr>
        <w:ind w:left="8100" w:hanging="360"/>
      </w:pPr>
      <w:rPr>
        <w:rFonts w:asciiTheme="minorHAnsi" w:eastAsiaTheme="minorHAnsi" w:hAnsiTheme="minorHAnsi" w:cstheme="minorBidi"/>
      </w:rPr>
    </w:lvl>
    <w:lvl w:ilvl="2" w:tplc="0409001B">
      <w:start w:val="1"/>
      <w:numFmt w:val="lowerRoman"/>
      <w:lvlText w:val="%3."/>
      <w:lvlJc w:val="right"/>
      <w:pPr>
        <w:ind w:left="8820" w:hanging="180"/>
      </w:pPr>
    </w:lvl>
    <w:lvl w:ilvl="3" w:tplc="0409000F">
      <w:start w:val="1"/>
      <w:numFmt w:val="decimal"/>
      <w:lvlText w:val="%4."/>
      <w:lvlJc w:val="left"/>
      <w:pPr>
        <w:ind w:left="9540" w:hanging="360"/>
      </w:pPr>
    </w:lvl>
    <w:lvl w:ilvl="4" w:tplc="04090019">
      <w:start w:val="1"/>
      <w:numFmt w:val="lowerLetter"/>
      <w:lvlText w:val="%5."/>
      <w:lvlJc w:val="left"/>
      <w:pPr>
        <w:ind w:left="10260" w:hanging="360"/>
      </w:pPr>
    </w:lvl>
    <w:lvl w:ilvl="5" w:tplc="0409001B">
      <w:start w:val="1"/>
      <w:numFmt w:val="lowerRoman"/>
      <w:lvlText w:val="%6."/>
      <w:lvlJc w:val="right"/>
      <w:pPr>
        <w:ind w:left="10980" w:hanging="180"/>
      </w:pPr>
    </w:lvl>
    <w:lvl w:ilvl="6" w:tplc="DDB0654A">
      <w:start w:val="1"/>
      <w:numFmt w:val="decimal"/>
      <w:lvlText w:val="%7"/>
      <w:lvlJc w:val="left"/>
      <w:pPr>
        <w:ind w:left="11700" w:hanging="360"/>
      </w:pPr>
      <w:rPr>
        <w:rFonts w:hint="default"/>
      </w:rPr>
    </w:lvl>
    <w:lvl w:ilvl="7" w:tplc="04090019">
      <w:start w:val="1"/>
      <w:numFmt w:val="lowerLetter"/>
      <w:lvlText w:val="%8."/>
      <w:lvlJc w:val="left"/>
      <w:pPr>
        <w:ind w:left="12420" w:hanging="360"/>
      </w:pPr>
    </w:lvl>
    <w:lvl w:ilvl="8" w:tplc="4502CC94">
      <w:start w:val="1"/>
      <w:numFmt w:val="upperLetter"/>
      <w:lvlText w:val="%9."/>
      <w:lvlJc w:val="right"/>
      <w:pPr>
        <w:ind w:left="13140" w:hanging="180"/>
      </w:pPr>
      <w:rPr>
        <w:rFonts w:asciiTheme="minorHAnsi" w:eastAsiaTheme="minorHAnsi" w:hAnsiTheme="minorHAnsi" w:cstheme="minorBidi"/>
      </w:rPr>
    </w:lvl>
  </w:abstractNum>
  <w:abstractNum w:abstractNumId="19" w15:restartNumberingAfterBreak="0">
    <w:nsid w:val="24D008F4"/>
    <w:multiLevelType w:val="hybridMultilevel"/>
    <w:tmpl w:val="0666D622"/>
    <w:lvl w:ilvl="0" w:tplc="7EF894C2">
      <w:start w:val="1"/>
      <w:numFmt w:val="upp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E132A9"/>
    <w:multiLevelType w:val="hybridMultilevel"/>
    <w:tmpl w:val="E170449A"/>
    <w:lvl w:ilvl="0" w:tplc="341A4D9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BD02E8"/>
    <w:multiLevelType w:val="hybridMultilevel"/>
    <w:tmpl w:val="5CCED206"/>
    <w:lvl w:ilvl="0" w:tplc="A5E4A8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0C3962"/>
    <w:multiLevelType w:val="hybridMultilevel"/>
    <w:tmpl w:val="1CC29570"/>
    <w:lvl w:ilvl="0" w:tplc="FFC835D8">
      <w:start w:val="1"/>
      <w:numFmt w:val="upperLetter"/>
      <w:lvlText w:val="%1."/>
      <w:lvlJc w:val="left"/>
      <w:pPr>
        <w:ind w:left="7380" w:hanging="360"/>
      </w:pPr>
      <w:rPr>
        <w:rFonts w:hint="default"/>
      </w:rPr>
    </w:lvl>
    <w:lvl w:ilvl="1" w:tplc="5BAA139A">
      <w:start w:val="1"/>
      <w:numFmt w:val="decimal"/>
      <w:lvlText w:val="%2."/>
      <w:lvlJc w:val="left"/>
      <w:pPr>
        <w:ind w:left="8100" w:hanging="360"/>
      </w:pPr>
      <w:rPr>
        <w:rFonts w:asciiTheme="minorHAnsi" w:eastAsiaTheme="minorHAnsi" w:hAnsiTheme="minorHAnsi" w:cstheme="minorBidi"/>
      </w:rPr>
    </w:lvl>
    <w:lvl w:ilvl="2" w:tplc="0409001B">
      <w:start w:val="1"/>
      <w:numFmt w:val="lowerRoman"/>
      <w:lvlText w:val="%3."/>
      <w:lvlJc w:val="right"/>
      <w:pPr>
        <w:ind w:left="8820" w:hanging="180"/>
      </w:pPr>
    </w:lvl>
    <w:lvl w:ilvl="3" w:tplc="0409000F">
      <w:start w:val="1"/>
      <w:numFmt w:val="decimal"/>
      <w:lvlText w:val="%4."/>
      <w:lvlJc w:val="left"/>
      <w:pPr>
        <w:ind w:left="9540" w:hanging="360"/>
      </w:pPr>
    </w:lvl>
    <w:lvl w:ilvl="4" w:tplc="04090019">
      <w:start w:val="1"/>
      <w:numFmt w:val="lowerLetter"/>
      <w:lvlText w:val="%5."/>
      <w:lvlJc w:val="left"/>
      <w:pPr>
        <w:ind w:left="10260" w:hanging="360"/>
      </w:pPr>
    </w:lvl>
    <w:lvl w:ilvl="5" w:tplc="0409001B">
      <w:start w:val="1"/>
      <w:numFmt w:val="lowerRoman"/>
      <w:lvlText w:val="%6."/>
      <w:lvlJc w:val="right"/>
      <w:pPr>
        <w:ind w:left="10980" w:hanging="180"/>
      </w:pPr>
    </w:lvl>
    <w:lvl w:ilvl="6" w:tplc="DDB0654A">
      <w:start w:val="1"/>
      <w:numFmt w:val="decimal"/>
      <w:lvlText w:val="%7"/>
      <w:lvlJc w:val="left"/>
      <w:pPr>
        <w:ind w:left="11700" w:hanging="360"/>
      </w:pPr>
      <w:rPr>
        <w:rFonts w:hint="default"/>
      </w:rPr>
    </w:lvl>
    <w:lvl w:ilvl="7" w:tplc="04090019">
      <w:start w:val="1"/>
      <w:numFmt w:val="lowerLetter"/>
      <w:lvlText w:val="%8."/>
      <w:lvlJc w:val="left"/>
      <w:pPr>
        <w:ind w:left="12420" w:hanging="360"/>
      </w:pPr>
    </w:lvl>
    <w:lvl w:ilvl="8" w:tplc="4502CC94">
      <w:start w:val="1"/>
      <w:numFmt w:val="upperLetter"/>
      <w:lvlText w:val="%9."/>
      <w:lvlJc w:val="right"/>
      <w:pPr>
        <w:ind w:left="13140" w:hanging="180"/>
      </w:pPr>
      <w:rPr>
        <w:rFonts w:asciiTheme="minorHAnsi" w:eastAsiaTheme="minorHAnsi" w:hAnsiTheme="minorHAnsi" w:cstheme="minorBidi"/>
      </w:rPr>
    </w:lvl>
  </w:abstractNum>
  <w:abstractNum w:abstractNumId="23" w15:restartNumberingAfterBreak="0">
    <w:nsid w:val="2B8B2EE5"/>
    <w:multiLevelType w:val="hybridMultilevel"/>
    <w:tmpl w:val="FC7A6514"/>
    <w:lvl w:ilvl="0" w:tplc="D1CE6BE0">
      <w:start w:val="2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25542F"/>
    <w:multiLevelType w:val="hybridMultilevel"/>
    <w:tmpl w:val="7F42A230"/>
    <w:lvl w:ilvl="0" w:tplc="1D221188">
      <w:start w:val="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9406544C">
      <w:start w:val="1"/>
      <w:numFmt w:val="upperLetter"/>
      <w:lvlText w:val="%3."/>
      <w:lvlJc w:val="right"/>
      <w:pPr>
        <w:ind w:left="3780" w:hanging="180"/>
      </w:pPr>
      <w:rPr>
        <w:rFonts w:asciiTheme="minorHAnsi" w:eastAsiaTheme="minorHAnsi" w:hAnsiTheme="minorHAnsi" w:cstheme="minorBidi"/>
      </w:rPr>
    </w:lvl>
    <w:lvl w:ilvl="3" w:tplc="94DE9780">
      <w:start w:val="1"/>
      <w:numFmt w:val="upperLetter"/>
      <w:lvlText w:val="%4."/>
      <w:lvlJc w:val="left"/>
      <w:pPr>
        <w:ind w:left="4500" w:hanging="360"/>
      </w:pPr>
      <w:rPr>
        <w:rFonts w:asciiTheme="minorHAnsi" w:eastAsiaTheme="minorHAnsi" w:hAnsiTheme="minorHAnsi" w:cstheme="minorBidi"/>
      </w:rPr>
    </w:lvl>
    <w:lvl w:ilvl="4" w:tplc="B8A66DE4">
      <w:start w:val="1"/>
      <w:numFmt w:val="lowerRoman"/>
      <w:lvlText w:val="%5."/>
      <w:lvlJc w:val="left"/>
      <w:pPr>
        <w:ind w:left="5220" w:hanging="360"/>
      </w:pPr>
      <w:rPr>
        <w:rFonts w:asciiTheme="minorHAnsi" w:eastAsiaTheme="minorHAnsi" w:hAnsiTheme="minorHAnsi" w:cstheme="minorBidi"/>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2E2D4124"/>
    <w:multiLevelType w:val="hybridMultilevel"/>
    <w:tmpl w:val="808A9A80"/>
    <w:lvl w:ilvl="0" w:tplc="5BAA139A">
      <w:start w:val="1"/>
      <w:numFmt w:val="decimal"/>
      <w:lvlText w:val="%1."/>
      <w:lvlJc w:val="left"/>
      <w:pPr>
        <w:ind w:left="81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CE1C5A"/>
    <w:multiLevelType w:val="hybridMultilevel"/>
    <w:tmpl w:val="CC80C332"/>
    <w:lvl w:ilvl="0" w:tplc="8E1E8B5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9554A9"/>
    <w:multiLevelType w:val="hybridMultilevel"/>
    <w:tmpl w:val="38EC4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D060D6"/>
    <w:multiLevelType w:val="hybridMultilevel"/>
    <w:tmpl w:val="60AACA9C"/>
    <w:lvl w:ilvl="0" w:tplc="7A1887EA">
      <w:start w:val="1"/>
      <w:numFmt w:val="decimal"/>
      <w:lvlText w:val="%1."/>
      <w:lvlJc w:val="left"/>
      <w:pPr>
        <w:ind w:left="1800" w:hanging="360"/>
      </w:pPr>
      <w:rPr>
        <w:rFonts w:asciiTheme="minorHAnsi" w:eastAsiaTheme="minorHAnsi" w:hAnsiTheme="minorHAnsi" w:cstheme="minorBidi"/>
        <w:b w:val="0"/>
      </w:rPr>
    </w:lvl>
    <w:lvl w:ilvl="1" w:tplc="D474EB46">
      <w:start w:val="1"/>
      <w:numFmt w:val="decimal"/>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F9DE60C2">
      <w:start w:val="2"/>
      <w:numFmt w:val="lowerLetter"/>
      <w:lvlText w:val="%5."/>
      <w:lvlJc w:val="left"/>
      <w:pPr>
        <w:ind w:left="4680" w:hanging="360"/>
      </w:pPr>
      <w:rPr>
        <w:rFonts w:hint="default"/>
      </w:rPr>
    </w:lvl>
    <w:lvl w:ilvl="5" w:tplc="49469932">
      <w:start w:val="2"/>
      <w:numFmt w:val="upperLetter"/>
      <w:lvlText w:val="%6&gt;"/>
      <w:lvlJc w:val="left"/>
      <w:pPr>
        <w:ind w:left="5580" w:hanging="360"/>
      </w:pPr>
      <w:rPr>
        <w:rFonts w:hint="default"/>
        <w:u w:val="single"/>
      </w:rPr>
    </w:lvl>
    <w:lvl w:ilvl="6" w:tplc="353E0982">
      <w:start w:val="1"/>
      <w:numFmt w:val="upperLetter"/>
      <w:lvlText w:val="%7."/>
      <w:lvlJc w:val="left"/>
      <w:pPr>
        <w:ind w:left="6120" w:hanging="360"/>
      </w:pPr>
      <w:rPr>
        <w:rFonts w:hint="default"/>
        <w:b w:val="0"/>
        <w:u w:val="none"/>
      </w:rPr>
    </w:lvl>
    <w:lvl w:ilvl="7" w:tplc="0409000F">
      <w:start w:val="1"/>
      <w:numFmt w:val="decimal"/>
      <w:lvlText w:val="%8."/>
      <w:lvlJc w:val="left"/>
      <w:pPr>
        <w:ind w:left="6840" w:hanging="360"/>
      </w:pPr>
    </w:lvl>
    <w:lvl w:ilvl="8" w:tplc="0409001B">
      <w:start w:val="1"/>
      <w:numFmt w:val="lowerRoman"/>
      <w:lvlText w:val="%9."/>
      <w:lvlJc w:val="right"/>
      <w:pPr>
        <w:ind w:left="810" w:hanging="180"/>
      </w:pPr>
    </w:lvl>
  </w:abstractNum>
  <w:abstractNum w:abstractNumId="29" w15:restartNumberingAfterBreak="0">
    <w:nsid w:val="350421A6"/>
    <w:multiLevelType w:val="hybridMultilevel"/>
    <w:tmpl w:val="9FD8BF8C"/>
    <w:lvl w:ilvl="0" w:tplc="D034EEE6">
      <w:start w:val="1"/>
      <w:numFmt w:val="upperLetter"/>
      <w:lvlText w:val="%1."/>
      <w:lvlJc w:val="left"/>
      <w:pPr>
        <w:ind w:left="1440" w:hanging="360"/>
      </w:pPr>
      <w:rPr>
        <w:rFonts w:hint="default"/>
        <w:color w:val="auto"/>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8A1FC3"/>
    <w:multiLevelType w:val="hybridMultilevel"/>
    <w:tmpl w:val="2620FD80"/>
    <w:lvl w:ilvl="0" w:tplc="CAC0B9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F66DE"/>
    <w:multiLevelType w:val="hybridMultilevel"/>
    <w:tmpl w:val="45D6B20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3A975F5"/>
    <w:multiLevelType w:val="hybridMultilevel"/>
    <w:tmpl w:val="97227CEE"/>
    <w:lvl w:ilvl="0" w:tplc="B53676A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C99E66FA">
      <w:start w:val="1"/>
      <w:numFmt w:val="decimal"/>
      <w:lvlText w:val="%3."/>
      <w:lvlJc w:val="right"/>
      <w:pPr>
        <w:ind w:left="2160" w:hanging="180"/>
      </w:pPr>
      <w:rPr>
        <w:rFonts w:asciiTheme="minorHAnsi" w:eastAsiaTheme="minorHAnsi" w:hAnsiTheme="minorHAnsi" w:cstheme="minorBidi"/>
      </w:rPr>
    </w:lvl>
    <w:lvl w:ilvl="3" w:tplc="2D24393C">
      <w:start w:val="1"/>
      <w:numFmt w:val="lowerLetter"/>
      <w:lvlText w:val="%4."/>
      <w:lvlJc w:val="left"/>
      <w:pPr>
        <w:ind w:left="2970" w:hanging="360"/>
      </w:pPr>
      <w:rPr>
        <w:rFonts w:asciiTheme="minorHAnsi" w:eastAsiaTheme="minorHAnsi" w:hAnsiTheme="minorHAnsi" w:cstheme="minorBidi"/>
      </w:rPr>
    </w:lvl>
    <w:lvl w:ilvl="4" w:tplc="D0201926">
      <w:start w:val="1"/>
      <w:numFmt w:val="lowerRoman"/>
      <w:lvlText w:val="%5."/>
      <w:lvlJc w:val="left"/>
      <w:pPr>
        <w:ind w:left="3600" w:hanging="360"/>
      </w:pPr>
      <w:rPr>
        <w:rFonts w:asciiTheme="minorHAnsi" w:eastAsiaTheme="minorHAnsi" w:hAnsiTheme="minorHAnsi" w:cstheme="minorBidi" w:hint="default"/>
      </w:rPr>
    </w:lvl>
    <w:lvl w:ilvl="5" w:tplc="BEB0FC9C">
      <w:start w:val="1"/>
      <w:numFmt w:val="lowerLetter"/>
      <w:lvlText w:val="%6."/>
      <w:lvlJc w:val="right"/>
      <w:pPr>
        <w:ind w:left="4320" w:hanging="180"/>
      </w:pPr>
      <w:rPr>
        <w:rFonts w:asciiTheme="minorHAnsi" w:eastAsiaTheme="minorHAnsi" w:hAnsiTheme="minorHAnsi" w:cstheme="minorBidi"/>
      </w:rPr>
    </w:lvl>
    <w:lvl w:ilvl="6" w:tplc="8CB80296">
      <w:start w:val="1"/>
      <w:numFmt w:val="decimal"/>
      <w:lvlText w:val="%7"/>
      <w:lvlJc w:val="left"/>
      <w:pPr>
        <w:ind w:left="5040" w:hanging="360"/>
      </w:pPr>
      <w:rPr>
        <w:rFonts w:hint="default"/>
      </w:rPr>
    </w:lvl>
    <w:lvl w:ilvl="7" w:tplc="E8686E90">
      <w:start w:val="4"/>
      <w:numFmt w:val="upperRoman"/>
      <w:lvlText w:val="%8."/>
      <w:lvlJc w:val="left"/>
      <w:pPr>
        <w:ind w:left="6120" w:hanging="720"/>
      </w:pPr>
      <w:rPr>
        <w:rFonts w:hint="default"/>
      </w:rPr>
    </w:lvl>
    <w:lvl w:ilvl="8" w:tplc="B5D05E18">
      <w:start w:val="1"/>
      <w:numFmt w:val="upperLetter"/>
      <w:lvlText w:val="%9."/>
      <w:lvlJc w:val="left"/>
      <w:pPr>
        <w:ind w:left="6660" w:hanging="360"/>
      </w:pPr>
      <w:rPr>
        <w:rFonts w:hint="default"/>
      </w:rPr>
    </w:lvl>
  </w:abstractNum>
  <w:abstractNum w:abstractNumId="33" w15:restartNumberingAfterBreak="0">
    <w:nsid w:val="54F46101"/>
    <w:multiLevelType w:val="hybridMultilevel"/>
    <w:tmpl w:val="B94C0C16"/>
    <w:lvl w:ilvl="0" w:tplc="E60AB7F2">
      <w:start w:val="1"/>
      <w:numFmt w:val="upperLetter"/>
      <w:lvlText w:val="%1."/>
      <w:lvlJc w:val="left"/>
      <w:pPr>
        <w:ind w:left="5760" w:hanging="360"/>
      </w:pPr>
      <w:rPr>
        <w:b w:val="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4" w15:restartNumberingAfterBreak="0">
    <w:nsid w:val="58B02647"/>
    <w:multiLevelType w:val="hybridMultilevel"/>
    <w:tmpl w:val="32E262D6"/>
    <w:lvl w:ilvl="0" w:tplc="04090015">
      <w:start w:val="1"/>
      <w:numFmt w:val="upperLetter"/>
      <w:lvlText w:val="%1."/>
      <w:lvlJc w:val="left"/>
      <w:pPr>
        <w:ind w:left="81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42313"/>
    <w:multiLevelType w:val="hybridMultilevel"/>
    <w:tmpl w:val="79763400"/>
    <w:lvl w:ilvl="0" w:tplc="430478D2">
      <w:start w:val="1"/>
      <w:numFmt w:val="upperLetter"/>
      <w:lvlText w:val="%1."/>
      <w:lvlJc w:val="left"/>
      <w:pPr>
        <w:ind w:left="720" w:hanging="360"/>
      </w:pPr>
      <w:rPr>
        <w:b w:val="0"/>
      </w:rPr>
    </w:lvl>
    <w:lvl w:ilvl="1" w:tplc="417A533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B55F2F"/>
    <w:multiLevelType w:val="hybridMultilevel"/>
    <w:tmpl w:val="AD76F91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7" w15:restartNumberingAfterBreak="0">
    <w:nsid w:val="5E273632"/>
    <w:multiLevelType w:val="hybridMultilevel"/>
    <w:tmpl w:val="B3DA49A6"/>
    <w:lvl w:ilvl="0" w:tplc="7952D49C">
      <w:start w:val="1"/>
      <w:numFmt w:val="decimal"/>
      <w:lvlText w:val="%1."/>
      <w:lvlJc w:val="left"/>
      <w:pPr>
        <w:ind w:left="1800" w:hanging="360"/>
      </w:pPr>
      <w:rPr>
        <w:rFonts w:asciiTheme="minorHAnsi" w:eastAsiaTheme="minorHAnsi" w:hAnsiTheme="minorHAnsi" w:cstheme="minorBidi"/>
      </w:rPr>
    </w:lvl>
    <w:lvl w:ilvl="1" w:tplc="D474EB46">
      <w:start w:val="1"/>
      <w:numFmt w:val="decimal"/>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6674CAB2">
      <w:start w:val="1"/>
      <w:numFmt w:val="decimal"/>
      <w:lvlText w:val="%4."/>
      <w:lvlJc w:val="left"/>
      <w:pPr>
        <w:ind w:left="3960" w:hanging="360"/>
      </w:pPr>
      <w:rPr>
        <w:i w:val="0"/>
      </w:rPr>
    </w:lvl>
    <w:lvl w:ilvl="4" w:tplc="44085936">
      <w:start w:val="1"/>
      <w:numFmt w:val="lowerLetter"/>
      <w:lvlText w:val="%5."/>
      <w:lvlJc w:val="left"/>
      <w:pPr>
        <w:ind w:left="4680" w:hanging="360"/>
      </w:pPr>
      <w:rPr>
        <w:rFonts w:hint="default"/>
        <w:i w:val="0"/>
      </w:rPr>
    </w:lvl>
    <w:lvl w:ilvl="5" w:tplc="49469932">
      <w:start w:val="2"/>
      <w:numFmt w:val="upperLetter"/>
      <w:lvlText w:val="%6&gt;"/>
      <w:lvlJc w:val="left"/>
      <w:pPr>
        <w:ind w:left="5580" w:hanging="360"/>
      </w:pPr>
      <w:rPr>
        <w:rFonts w:hint="default"/>
        <w:u w:val="single"/>
      </w:rPr>
    </w:lvl>
    <w:lvl w:ilvl="6" w:tplc="353E0982">
      <w:start w:val="1"/>
      <w:numFmt w:val="upperLetter"/>
      <w:lvlText w:val="%7."/>
      <w:lvlJc w:val="left"/>
      <w:pPr>
        <w:ind w:left="6120" w:hanging="360"/>
      </w:pPr>
      <w:rPr>
        <w:rFonts w:hint="default"/>
        <w:b w:val="0"/>
        <w:u w:val="none"/>
      </w:rPr>
    </w:lvl>
    <w:lvl w:ilvl="7" w:tplc="0409000F">
      <w:start w:val="1"/>
      <w:numFmt w:val="decimal"/>
      <w:lvlText w:val="%8."/>
      <w:lvlJc w:val="left"/>
      <w:pPr>
        <w:ind w:left="6840" w:hanging="360"/>
      </w:pPr>
    </w:lvl>
    <w:lvl w:ilvl="8" w:tplc="04090015">
      <w:start w:val="1"/>
      <w:numFmt w:val="upperLetter"/>
      <w:lvlText w:val="%9."/>
      <w:lvlJc w:val="left"/>
      <w:pPr>
        <w:ind w:left="810" w:hanging="180"/>
      </w:pPr>
    </w:lvl>
  </w:abstractNum>
  <w:abstractNum w:abstractNumId="38" w15:restartNumberingAfterBreak="0">
    <w:nsid w:val="5F545E53"/>
    <w:multiLevelType w:val="multilevel"/>
    <w:tmpl w:val="D418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132A4"/>
    <w:multiLevelType w:val="multilevel"/>
    <w:tmpl w:val="0D0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A0C67"/>
    <w:multiLevelType w:val="hybridMultilevel"/>
    <w:tmpl w:val="E6D650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24"/>
  </w:num>
  <w:num w:numId="3">
    <w:abstractNumId w:val="10"/>
  </w:num>
  <w:num w:numId="4">
    <w:abstractNumId w:val="12"/>
  </w:num>
  <w:num w:numId="5">
    <w:abstractNumId w:val="0"/>
  </w:num>
  <w:num w:numId="6">
    <w:abstractNumId w:val="15"/>
  </w:num>
  <w:num w:numId="7">
    <w:abstractNumId w:val="21"/>
  </w:num>
  <w:num w:numId="8">
    <w:abstractNumId w:val="1"/>
  </w:num>
  <w:num w:numId="9">
    <w:abstractNumId w:val="2"/>
  </w:num>
  <w:num w:numId="10">
    <w:abstractNumId w:val="5"/>
  </w:num>
  <w:num w:numId="11">
    <w:abstractNumId w:val="22"/>
  </w:num>
  <w:num w:numId="12">
    <w:abstractNumId w:val="29"/>
  </w:num>
  <w:num w:numId="13">
    <w:abstractNumId w:val="9"/>
  </w:num>
  <w:num w:numId="14">
    <w:abstractNumId w:val="37"/>
  </w:num>
  <w:num w:numId="15">
    <w:abstractNumId w:val="11"/>
  </w:num>
  <w:num w:numId="16">
    <w:abstractNumId w:val="39"/>
  </w:num>
  <w:num w:numId="17">
    <w:abstractNumId w:val="38"/>
  </w:num>
  <w:num w:numId="18">
    <w:abstractNumId w:val="16"/>
  </w:num>
  <w:num w:numId="19">
    <w:abstractNumId w:val="18"/>
  </w:num>
  <w:num w:numId="20">
    <w:abstractNumId w:val="30"/>
  </w:num>
  <w:num w:numId="21">
    <w:abstractNumId w:val="26"/>
  </w:num>
  <w:num w:numId="22">
    <w:abstractNumId w:val="19"/>
  </w:num>
  <w:num w:numId="23">
    <w:abstractNumId w:val="4"/>
  </w:num>
  <w:num w:numId="24">
    <w:abstractNumId w:val="25"/>
  </w:num>
  <w:num w:numId="25">
    <w:abstractNumId w:val="8"/>
  </w:num>
  <w:num w:numId="26">
    <w:abstractNumId w:val="27"/>
  </w:num>
  <w:num w:numId="27">
    <w:abstractNumId w:val="20"/>
  </w:num>
  <w:num w:numId="28">
    <w:abstractNumId w:val="6"/>
  </w:num>
  <w:num w:numId="29">
    <w:abstractNumId w:val="34"/>
  </w:num>
  <w:num w:numId="30">
    <w:abstractNumId w:val="7"/>
  </w:num>
  <w:num w:numId="31">
    <w:abstractNumId w:val="28"/>
  </w:num>
  <w:num w:numId="32">
    <w:abstractNumId w:val="13"/>
  </w:num>
  <w:num w:numId="33">
    <w:abstractNumId w:val="14"/>
  </w:num>
  <w:num w:numId="34">
    <w:abstractNumId w:val="3"/>
  </w:num>
  <w:num w:numId="35">
    <w:abstractNumId w:val="17"/>
  </w:num>
  <w:num w:numId="36">
    <w:abstractNumId w:val="31"/>
  </w:num>
  <w:num w:numId="37">
    <w:abstractNumId w:val="40"/>
  </w:num>
  <w:num w:numId="38">
    <w:abstractNumId w:val="33"/>
  </w:num>
  <w:num w:numId="39">
    <w:abstractNumId w:val="36"/>
  </w:num>
  <w:num w:numId="40">
    <w:abstractNumId w:val="3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37"/>
    <w:rsid w:val="000033BB"/>
    <w:rsid w:val="0000603D"/>
    <w:rsid w:val="00006DA6"/>
    <w:rsid w:val="00017C72"/>
    <w:rsid w:val="0003259E"/>
    <w:rsid w:val="000437F6"/>
    <w:rsid w:val="00045F8C"/>
    <w:rsid w:val="00054C69"/>
    <w:rsid w:val="00055081"/>
    <w:rsid w:val="00061DE3"/>
    <w:rsid w:val="0006287C"/>
    <w:rsid w:val="00063060"/>
    <w:rsid w:val="00066ADE"/>
    <w:rsid w:val="00074A48"/>
    <w:rsid w:val="0007542E"/>
    <w:rsid w:val="00077F05"/>
    <w:rsid w:val="00085AFC"/>
    <w:rsid w:val="00085E4A"/>
    <w:rsid w:val="0008711F"/>
    <w:rsid w:val="00091D1B"/>
    <w:rsid w:val="00091D31"/>
    <w:rsid w:val="000943A0"/>
    <w:rsid w:val="00094CBA"/>
    <w:rsid w:val="0009520E"/>
    <w:rsid w:val="000A4032"/>
    <w:rsid w:val="000B2E18"/>
    <w:rsid w:val="000C05BF"/>
    <w:rsid w:val="000C3B58"/>
    <w:rsid w:val="000D0D6C"/>
    <w:rsid w:val="000D1D04"/>
    <w:rsid w:val="000D2156"/>
    <w:rsid w:val="000E7338"/>
    <w:rsid w:val="001005CE"/>
    <w:rsid w:val="00100AB5"/>
    <w:rsid w:val="00103D3A"/>
    <w:rsid w:val="001061BC"/>
    <w:rsid w:val="00125713"/>
    <w:rsid w:val="00125E65"/>
    <w:rsid w:val="001327A3"/>
    <w:rsid w:val="00132E16"/>
    <w:rsid w:val="00134D01"/>
    <w:rsid w:val="00135416"/>
    <w:rsid w:val="00135B04"/>
    <w:rsid w:val="0013702B"/>
    <w:rsid w:val="001379CC"/>
    <w:rsid w:val="001530F8"/>
    <w:rsid w:val="00157D4A"/>
    <w:rsid w:val="00163B97"/>
    <w:rsid w:val="00167F67"/>
    <w:rsid w:val="0018355D"/>
    <w:rsid w:val="001849A7"/>
    <w:rsid w:val="00196001"/>
    <w:rsid w:val="00196F82"/>
    <w:rsid w:val="0019779B"/>
    <w:rsid w:val="001B0D15"/>
    <w:rsid w:val="001B3A0D"/>
    <w:rsid w:val="001B46E7"/>
    <w:rsid w:val="001B71AD"/>
    <w:rsid w:val="001C54A9"/>
    <w:rsid w:val="001D43E0"/>
    <w:rsid w:val="001F202C"/>
    <w:rsid w:val="00205465"/>
    <w:rsid w:val="00213559"/>
    <w:rsid w:val="0021471E"/>
    <w:rsid w:val="00215CB3"/>
    <w:rsid w:val="00216E7B"/>
    <w:rsid w:val="00225A8B"/>
    <w:rsid w:val="002260BE"/>
    <w:rsid w:val="0022699C"/>
    <w:rsid w:val="00230DB7"/>
    <w:rsid w:val="0023182A"/>
    <w:rsid w:val="00241FBB"/>
    <w:rsid w:val="002431DA"/>
    <w:rsid w:val="00243E9D"/>
    <w:rsid w:val="002440C6"/>
    <w:rsid w:val="00263194"/>
    <w:rsid w:val="00267294"/>
    <w:rsid w:val="00275441"/>
    <w:rsid w:val="00280E4A"/>
    <w:rsid w:val="00284B7E"/>
    <w:rsid w:val="002A20E9"/>
    <w:rsid w:val="002A2BA2"/>
    <w:rsid w:val="002A32B7"/>
    <w:rsid w:val="002B41AC"/>
    <w:rsid w:val="002B6768"/>
    <w:rsid w:val="002C0C06"/>
    <w:rsid w:val="002C3696"/>
    <w:rsid w:val="002C39D0"/>
    <w:rsid w:val="002D6C08"/>
    <w:rsid w:val="002E47FE"/>
    <w:rsid w:val="002E4E6F"/>
    <w:rsid w:val="002E6C8C"/>
    <w:rsid w:val="002F1348"/>
    <w:rsid w:val="002F14FC"/>
    <w:rsid w:val="002F3D83"/>
    <w:rsid w:val="002F3FA0"/>
    <w:rsid w:val="00300EB6"/>
    <w:rsid w:val="00304186"/>
    <w:rsid w:val="003119C4"/>
    <w:rsid w:val="00312D2D"/>
    <w:rsid w:val="00315577"/>
    <w:rsid w:val="0031577A"/>
    <w:rsid w:val="00315D15"/>
    <w:rsid w:val="00320612"/>
    <w:rsid w:val="003349C3"/>
    <w:rsid w:val="00335D89"/>
    <w:rsid w:val="00336B69"/>
    <w:rsid w:val="00344FDD"/>
    <w:rsid w:val="0036087D"/>
    <w:rsid w:val="003662AB"/>
    <w:rsid w:val="003833A1"/>
    <w:rsid w:val="00383533"/>
    <w:rsid w:val="00385078"/>
    <w:rsid w:val="00385EAD"/>
    <w:rsid w:val="0039273A"/>
    <w:rsid w:val="0039397F"/>
    <w:rsid w:val="003A31E3"/>
    <w:rsid w:val="003C11C1"/>
    <w:rsid w:val="003C47B5"/>
    <w:rsid w:val="003C77EF"/>
    <w:rsid w:val="003D67B6"/>
    <w:rsid w:val="003E79BF"/>
    <w:rsid w:val="003F262B"/>
    <w:rsid w:val="003F4551"/>
    <w:rsid w:val="003F549A"/>
    <w:rsid w:val="003F5EF1"/>
    <w:rsid w:val="0040003C"/>
    <w:rsid w:val="00404A5F"/>
    <w:rsid w:val="004053C8"/>
    <w:rsid w:val="004119AF"/>
    <w:rsid w:val="00415C72"/>
    <w:rsid w:val="0041711D"/>
    <w:rsid w:val="00421F04"/>
    <w:rsid w:val="0042207E"/>
    <w:rsid w:val="004238DF"/>
    <w:rsid w:val="00424883"/>
    <w:rsid w:val="00424B26"/>
    <w:rsid w:val="00440B83"/>
    <w:rsid w:val="004413F9"/>
    <w:rsid w:val="0044790D"/>
    <w:rsid w:val="00450694"/>
    <w:rsid w:val="00477BD0"/>
    <w:rsid w:val="00487927"/>
    <w:rsid w:val="0049026F"/>
    <w:rsid w:val="00491956"/>
    <w:rsid w:val="004A61E6"/>
    <w:rsid w:val="004B041D"/>
    <w:rsid w:val="004B376F"/>
    <w:rsid w:val="004B3DF2"/>
    <w:rsid w:val="004B6DB6"/>
    <w:rsid w:val="004C6B17"/>
    <w:rsid w:val="004D2FDD"/>
    <w:rsid w:val="004D48C0"/>
    <w:rsid w:val="004D5CD9"/>
    <w:rsid w:val="004E3741"/>
    <w:rsid w:val="004E7246"/>
    <w:rsid w:val="004E7E97"/>
    <w:rsid w:val="004F33C0"/>
    <w:rsid w:val="004F5B0B"/>
    <w:rsid w:val="00504588"/>
    <w:rsid w:val="00510A78"/>
    <w:rsid w:val="00513E1C"/>
    <w:rsid w:val="005208C7"/>
    <w:rsid w:val="00526326"/>
    <w:rsid w:val="00542046"/>
    <w:rsid w:val="005435C2"/>
    <w:rsid w:val="005455CE"/>
    <w:rsid w:val="00557A1F"/>
    <w:rsid w:val="0056473E"/>
    <w:rsid w:val="00564D9B"/>
    <w:rsid w:val="005676D9"/>
    <w:rsid w:val="00572A68"/>
    <w:rsid w:val="00575978"/>
    <w:rsid w:val="0057771A"/>
    <w:rsid w:val="00580653"/>
    <w:rsid w:val="00596932"/>
    <w:rsid w:val="005A3DEC"/>
    <w:rsid w:val="005B3C3B"/>
    <w:rsid w:val="005B5EFB"/>
    <w:rsid w:val="005C1C32"/>
    <w:rsid w:val="005C57B5"/>
    <w:rsid w:val="005C6BC6"/>
    <w:rsid w:val="005C71B1"/>
    <w:rsid w:val="005D1F38"/>
    <w:rsid w:val="005E156F"/>
    <w:rsid w:val="005E509D"/>
    <w:rsid w:val="00607868"/>
    <w:rsid w:val="0061116B"/>
    <w:rsid w:val="0061166B"/>
    <w:rsid w:val="00615111"/>
    <w:rsid w:val="00622D3C"/>
    <w:rsid w:val="0062411D"/>
    <w:rsid w:val="00634FFE"/>
    <w:rsid w:val="00635D0F"/>
    <w:rsid w:val="00635D45"/>
    <w:rsid w:val="00637997"/>
    <w:rsid w:val="00657CDD"/>
    <w:rsid w:val="00680F94"/>
    <w:rsid w:val="006831A0"/>
    <w:rsid w:val="00684222"/>
    <w:rsid w:val="006870BF"/>
    <w:rsid w:val="006A54DF"/>
    <w:rsid w:val="006C1C63"/>
    <w:rsid w:val="006C270B"/>
    <w:rsid w:val="006C5EBB"/>
    <w:rsid w:val="006D367A"/>
    <w:rsid w:val="006D4DB9"/>
    <w:rsid w:val="006D576C"/>
    <w:rsid w:val="006D6DCC"/>
    <w:rsid w:val="006E26AA"/>
    <w:rsid w:val="006E412D"/>
    <w:rsid w:val="006E5493"/>
    <w:rsid w:val="006E5B29"/>
    <w:rsid w:val="006F4421"/>
    <w:rsid w:val="006F4574"/>
    <w:rsid w:val="0070438C"/>
    <w:rsid w:val="00706EAF"/>
    <w:rsid w:val="00713BD4"/>
    <w:rsid w:val="00715B62"/>
    <w:rsid w:val="00716508"/>
    <w:rsid w:val="0071790B"/>
    <w:rsid w:val="0072411D"/>
    <w:rsid w:val="007247D0"/>
    <w:rsid w:val="00724CBE"/>
    <w:rsid w:val="00734F21"/>
    <w:rsid w:val="00736148"/>
    <w:rsid w:val="00737A51"/>
    <w:rsid w:val="00755617"/>
    <w:rsid w:val="00767BF1"/>
    <w:rsid w:val="0077337E"/>
    <w:rsid w:val="00791626"/>
    <w:rsid w:val="007A57BE"/>
    <w:rsid w:val="007B0CED"/>
    <w:rsid w:val="007C3E82"/>
    <w:rsid w:val="007C4635"/>
    <w:rsid w:val="007C64DD"/>
    <w:rsid w:val="007C738D"/>
    <w:rsid w:val="007D0791"/>
    <w:rsid w:val="007D1679"/>
    <w:rsid w:val="007E47BF"/>
    <w:rsid w:val="007E53F9"/>
    <w:rsid w:val="00802E6B"/>
    <w:rsid w:val="00804CBD"/>
    <w:rsid w:val="008213AD"/>
    <w:rsid w:val="00834387"/>
    <w:rsid w:val="008362B0"/>
    <w:rsid w:val="0083641B"/>
    <w:rsid w:val="00840D40"/>
    <w:rsid w:val="0084157A"/>
    <w:rsid w:val="00857547"/>
    <w:rsid w:val="00857728"/>
    <w:rsid w:val="0086043A"/>
    <w:rsid w:val="00860456"/>
    <w:rsid w:val="00861A46"/>
    <w:rsid w:val="00864DAE"/>
    <w:rsid w:val="00865883"/>
    <w:rsid w:val="00895A86"/>
    <w:rsid w:val="00896E48"/>
    <w:rsid w:val="008A2B8A"/>
    <w:rsid w:val="008A64D9"/>
    <w:rsid w:val="008B36D4"/>
    <w:rsid w:val="008C165B"/>
    <w:rsid w:val="008C1D6A"/>
    <w:rsid w:val="008C2F09"/>
    <w:rsid w:val="008C5315"/>
    <w:rsid w:val="008C61EF"/>
    <w:rsid w:val="008C7CF6"/>
    <w:rsid w:val="008D0C3E"/>
    <w:rsid w:val="008D3592"/>
    <w:rsid w:val="008D35B8"/>
    <w:rsid w:val="008D468B"/>
    <w:rsid w:val="008D6E80"/>
    <w:rsid w:val="008E2F71"/>
    <w:rsid w:val="00904B75"/>
    <w:rsid w:val="00913883"/>
    <w:rsid w:val="00914FE5"/>
    <w:rsid w:val="00941A9F"/>
    <w:rsid w:val="00947777"/>
    <w:rsid w:val="0095032C"/>
    <w:rsid w:val="00953D07"/>
    <w:rsid w:val="00956AB2"/>
    <w:rsid w:val="009729FC"/>
    <w:rsid w:val="00974BB5"/>
    <w:rsid w:val="00977333"/>
    <w:rsid w:val="009848F4"/>
    <w:rsid w:val="00986CE4"/>
    <w:rsid w:val="00990ADB"/>
    <w:rsid w:val="009923B6"/>
    <w:rsid w:val="009B31BF"/>
    <w:rsid w:val="009B64DE"/>
    <w:rsid w:val="009C3C70"/>
    <w:rsid w:val="009E7355"/>
    <w:rsid w:val="009F7C9F"/>
    <w:rsid w:val="00A01A0D"/>
    <w:rsid w:val="00A07792"/>
    <w:rsid w:val="00A07DE9"/>
    <w:rsid w:val="00A137E2"/>
    <w:rsid w:val="00A160A3"/>
    <w:rsid w:val="00A208D7"/>
    <w:rsid w:val="00A22005"/>
    <w:rsid w:val="00A26D00"/>
    <w:rsid w:val="00A26FD0"/>
    <w:rsid w:val="00A34D52"/>
    <w:rsid w:val="00A41F4C"/>
    <w:rsid w:val="00A436DB"/>
    <w:rsid w:val="00A437F9"/>
    <w:rsid w:val="00A46849"/>
    <w:rsid w:val="00A56691"/>
    <w:rsid w:val="00A609A7"/>
    <w:rsid w:val="00A725AA"/>
    <w:rsid w:val="00A72DDC"/>
    <w:rsid w:val="00A76BFE"/>
    <w:rsid w:val="00A773D1"/>
    <w:rsid w:val="00A77F54"/>
    <w:rsid w:val="00A90F7C"/>
    <w:rsid w:val="00A925B3"/>
    <w:rsid w:val="00A9347A"/>
    <w:rsid w:val="00A93EAB"/>
    <w:rsid w:val="00A95FF2"/>
    <w:rsid w:val="00AB4913"/>
    <w:rsid w:val="00AB6CFE"/>
    <w:rsid w:val="00AC23E7"/>
    <w:rsid w:val="00AD721C"/>
    <w:rsid w:val="00AE2C4C"/>
    <w:rsid w:val="00AF0B60"/>
    <w:rsid w:val="00AF6435"/>
    <w:rsid w:val="00B019C8"/>
    <w:rsid w:val="00B07310"/>
    <w:rsid w:val="00B12B62"/>
    <w:rsid w:val="00B15E02"/>
    <w:rsid w:val="00B16825"/>
    <w:rsid w:val="00B22D24"/>
    <w:rsid w:val="00B2705C"/>
    <w:rsid w:val="00B31C7F"/>
    <w:rsid w:val="00B355B2"/>
    <w:rsid w:val="00B53286"/>
    <w:rsid w:val="00B54F1E"/>
    <w:rsid w:val="00B643F1"/>
    <w:rsid w:val="00B652E0"/>
    <w:rsid w:val="00B76586"/>
    <w:rsid w:val="00B81EC5"/>
    <w:rsid w:val="00B82595"/>
    <w:rsid w:val="00B917B1"/>
    <w:rsid w:val="00B9653F"/>
    <w:rsid w:val="00BA1C77"/>
    <w:rsid w:val="00BB5118"/>
    <w:rsid w:val="00BC4D30"/>
    <w:rsid w:val="00BE16AC"/>
    <w:rsid w:val="00BE1F37"/>
    <w:rsid w:val="00BE3FA6"/>
    <w:rsid w:val="00BE6AA2"/>
    <w:rsid w:val="00BF29FC"/>
    <w:rsid w:val="00BF3C79"/>
    <w:rsid w:val="00C00B78"/>
    <w:rsid w:val="00C0612F"/>
    <w:rsid w:val="00C16DE3"/>
    <w:rsid w:val="00C220ED"/>
    <w:rsid w:val="00C2390A"/>
    <w:rsid w:val="00C42CC4"/>
    <w:rsid w:val="00C44B97"/>
    <w:rsid w:val="00C53E83"/>
    <w:rsid w:val="00C5476C"/>
    <w:rsid w:val="00C63375"/>
    <w:rsid w:val="00C73AD1"/>
    <w:rsid w:val="00C77841"/>
    <w:rsid w:val="00C8506B"/>
    <w:rsid w:val="00CA0DC9"/>
    <w:rsid w:val="00CA19AA"/>
    <w:rsid w:val="00CA25EE"/>
    <w:rsid w:val="00CA27A6"/>
    <w:rsid w:val="00CB01F2"/>
    <w:rsid w:val="00CC0C4D"/>
    <w:rsid w:val="00CD5A87"/>
    <w:rsid w:val="00CD637E"/>
    <w:rsid w:val="00D01DBC"/>
    <w:rsid w:val="00D02665"/>
    <w:rsid w:val="00D04E48"/>
    <w:rsid w:val="00D063C0"/>
    <w:rsid w:val="00D104E6"/>
    <w:rsid w:val="00D25562"/>
    <w:rsid w:val="00D25C4C"/>
    <w:rsid w:val="00D32B22"/>
    <w:rsid w:val="00D362D8"/>
    <w:rsid w:val="00D46C90"/>
    <w:rsid w:val="00D47871"/>
    <w:rsid w:val="00D5356E"/>
    <w:rsid w:val="00D622AD"/>
    <w:rsid w:val="00D639C5"/>
    <w:rsid w:val="00D64A50"/>
    <w:rsid w:val="00D6741C"/>
    <w:rsid w:val="00D776D2"/>
    <w:rsid w:val="00D81ADD"/>
    <w:rsid w:val="00D87A98"/>
    <w:rsid w:val="00DA00EE"/>
    <w:rsid w:val="00DA1A5C"/>
    <w:rsid w:val="00DA55B3"/>
    <w:rsid w:val="00DB08B5"/>
    <w:rsid w:val="00DB3D09"/>
    <w:rsid w:val="00DB4866"/>
    <w:rsid w:val="00DB48EC"/>
    <w:rsid w:val="00DB680D"/>
    <w:rsid w:val="00DD06AC"/>
    <w:rsid w:val="00DF7F8D"/>
    <w:rsid w:val="00E00388"/>
    <w:rsid w:val="00E0277E"/>
    <w:rsid w:val="00E229D2"/>
    <w:rsid w:val="00E23ECF"/>
    <w:rsid w:val="00E3294D"/>
    <w:rsid w:val="00E3778E"/>
    <w:rsid w:val="00E407C2"/>
    <w:rsid w:val="00E422F9"/>
    <w:rsid w:val="00E640AF"/>
    <w:rsid w:val="00E7144B"/>
    <w:rsid w:val="00E90901"/>
    <w:rsid w:val="00EA1D63"/>
    <w:rsid w:val="00EA34C8"/>
    <w:rsid w:val="00EA5BAE"/>
    <w:rsid w:val="00EA69C5"/>
    <w:rsid w:val="00EA7BAB"/>
    <w:rsid w:val="00EB0615"/>
    <w:rsid w:val="00EB30CC"/>
    <w:rsid w:val="00EB5A35"/>
    <w:rsid w:val="00EC5186"/>
    <w:rsid w:val="00EC5F8A"/>
    <w:rsid w:val="00ED1217"/>
    <w:rsid w:val="00ED2C58"/>
    <w:rsid w:val="00ED3C85"/>
    <w:rsid w:val="00ED4316"/>
    <w:rsid w:val="00EE0E4B"/>
    <w:rsid w:val="00EE151D"/>
    <w:rsid w:val="00EE7FAB"/>
    <w:rsid w:val="00EF17A0"/>
    <w:rsid w:val="00EF394A"/>
    <w:rsid w:val="00F07AFF"/>
    <w:rsid w:val="00F10157"/>
    <w:rsid w:val="00F176B4"/>
    <w:rsid w:val="00F202B0"/>
    <w:rsid w:val="00F20E02"/>
    <w:rsid w:val="00F26091"/>
    <w:rsid w:val="00F33054"/>
    <w:rsid w:val="00F52DAA"/>
    <w:rsid w:val="00F53886"/>
    <w:rsid w:val="00F55106"/>
    <w:rsid w:val="00F64327"/>
    <w:rsid w:val="00F664BD"/>
    <w:rsid w:val="00F70B63"/>
    <w:rsid w:val="00F77FAF"/>
    <w:rsid w:val="00F92F8B"/>
    <w:rsid w:val="00F9742E"/>
    <w:rsid w:val="00FA0F25"/>
    <w:rsid w:val="00FA5CE0"/>
    <w:rsid w:val="00FF3F4E"/>
    <w:rsid w:val="00FF45B0"/>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416D"/>
  <w15:chartTrackingRefBased/>
  <w15:docId w15:val="{10DAC6B8-2BFE-4575-9045-FAF30E34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70"/>
    <w:pPr>
      <w:ind w:left="720"/>
      <w:contextualSpacing/>
    </w:pPr>
  </w:style>
  <w:style w:type="paragraph" w:styleId="BalloonText">
    <w:name w:val="Balloon Text"/>
    <w:basedOn w:val="Normal"/>
    <w:link w:val="BalloonTextChar"/>
    <w:uiPriority w:val="99"/>
    <w:semiHidden/>
    <w:unhideWhenUsed/>
    <w:rsid w:val="008C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1EF"/>
    <w:rPr>
      <w:rFonts w:ascii="Segoe UI" w:hAnsi="Segoe UI" w:cs="Segoe UI"/>
      <w:sz w:val="18"/>
      <w:szCs w:val="18"/>
    </w:rPr>
  </w:style>
  <w:style w:type="character" w:styleId="CommentReference">
    <w:name w:val="annotation reference"/>
    <w:basedOn w:val="DefaultParagraphFont"/>
    <w:uiPriority w:val="99"/>
    <w:semiHidden/>
    <w:unhideWhenUsed/>
    <w:rsid w:val="00E90901"/>
    <w:rPr>
      <w:sz w:val="16"/>
      <w:szCs w:val="16"/>
    </w:rPr>
  </w:style>
  <w:style w:type="paragraph" w:styleId="CommentText">
    <w:name w:val="annotation text"/>
    <w:basedOn w:val="Normal"/>
    <w:link w:val="CommentTextChar"/>
    <w:uiPriority w:val="99"/>
    <w:semiHidden/>
    <w:unhideWhenUsed/>
    <w:rsid w:val="00E90901"/>
    <w:pPr>
      <w:spacing w:line="240" w:lineRule="auto"/>
    </w:pPr>
    <w:rPr>
      <w:sz w:val="20"/>
      <w:szCs w:val="20"/>
    </w:rPr>
  </w:style>
  <w:style w:type="character" w:customStyle="1" w:styleId="CommentTextChar">
    <w:name w:val="Comment Text Char"/>
    <w:basedOn w:val="DefaultParagraphFont"/>
    <w:link w:val="CommentText"/>
    <w:uiPriority w:val="99"/>
    <w:semiHidden/>
    <w:rsid w:val="00E90901"/>
    <w:rPr>
      <w:sz w:val="20"/>
      <w:szCs w:val="20"/>
    </w:rPr>
  </w:style>
  <w:style w:type="paragraph" w:styleId="CommentSubject">
    <w:name w:val="annotation subject"/>
    <w:basedOn w:val="CommentText"/>
    <w:next w:val="CommentText"/>
    <w:link w:val="CommentSubjectChar"/>
    <w:uiPriority w:val="99"/>
    <w:semiHidden/>
    <w:unhideWhenUsed/>
    <w:rsid w:val="00E90901"/>
    <w:rPr>
      <w:b/>
      <w:bCs/>
    </w:rPr>
  </w:style>
  <w:style w:type="character" w:customStyle="1" w:styleId="CommentSubjectChar">
    <w:name w:val="Comment Subject Char"/>
    <w:basedOn w:val="CommentTextChar"/>
    <w:link w:val="CommentSubject"/>
    <w:uiPriority w:val="99"/>
    <w:semiHidden/>
    <w:rsid w:val="00E90901"/>
    <w:rPr>
      <w:b/>
      <w:bCs/>
      <w:sz w:val="20"/>
      <w:szCs w:val="20"/>
    </w:rPr>
  </w:style>
  <w:style w:type="character" w:styleId="Hyperlink">
    <w:name w:val="Hyperlink"/>
    <w:basedOn w:val="DefaultParagraphFont"/>
    <w:uiPriority w:val="99"/>
    <w:unhideWhenUsed/>
    <w:rsid w:val="00634FFE"/>
    <w:rPr>
      <w:color w:val="0563C1" w:themeColor="hyperlink"/>
      <w:u w:val="single"/>
    </w:rPr>
  </w:style>
  <w:style w:type="character" w:styleId="FollowedHyperlink">
    <w:name w:val="FollowedHyperlink"/>
    <w:basedOn w:val="DefaultParagraphFont"/>
    <w:uiPriority w:val="99"/>
    <w:semiHidden/>
    <w:unhideWhenUsed/>
    <w:rsid w:val="00634FFE"/>
    <w:rPr>
      <w:color w:val="954F72" w:themeColor="followedHyperlink"/>
      <w:u w:val="single"/>
    </w:rPr>
  </w:style>
  <w:style w:type="paragraph" w:styleId="FootnoteText">
    <w:name w:val="footnote text"/>
    <w:basedOn w:val="Normal"/>
    <w:link w:val="FootnoteTextChar"/>
    <w:uiPriority w:val="99"/>
    <w:semiHidden/>
    <w:unhideWhenUsed/>
    <w:rsid w:val="00EF3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94A"/>
    <w:rPr>
      <w:sz w:val="20"/>
      <w:szCs w:val="20"/>
    </w:rPr>
  </w:style>
  <w:style w:type="character" w:styleId="FootnoteReference">
    <w:name w:val="footnote reference"/>
    <w:basedOn w:val="DefaultParagraphFont"/>
    <w:uiPriority w:val="99"/>
    <w:semiHidden/>
    <w:unhideWhenUsed/>
    <w:rsid w:val="00EF394A"/>
    <w:rPr>
      <w:vertAlign w:val="superscript"/>
    </w:rPr>
  </w:style>
  <w:style w:type="paragraph" w:styleId="Header">
    <w:name w:val="header"/>
    <w:basedOn w:val="Normal"/>
    <w:link w:val="HeaderChar"/>
    <w:uiPriority w:val="99"/>
    <w:unhideWhenUsed/>
    <w:rsid w:val="004D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DD"/>
  </w:style>
  <w:style w:type="paragraph" w:styleId="Footer">
    <w:name w:val="footer"/>
    <w:basedOn w:val="Normal"/>
    <w:link w:val="FooterChar"/>
    <w:uiPriority w:val="99"/>
    <w:unhideWhenUsed/>
    <w:rsid w:val="004D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DD"/>
  </w:style>
  <w:style w:type="character" w:customStyle="1" w:styleId="UnresolvedMention1">
    <w:name w:val="Unresolved Mention1"/>
    <w:basedOn w:val="DefaultParagraphFont"/>
    <w:uiPriority w:val="99"/>
    <w:semiHidden/>
    <w:unhideWhenUsed/>
    <w:rsid w:val="0042207E"/>
    <w:rPr>
      <w:color w:val="605E5C"/>
      <w:shd w:val="clear" w:color="auto" w:fill="E1DFDD"/>
    </w:rPr>
  </w:style>
  <w:style w:type="paragraph" w:styleId="EndnoteText">
    <w:name w:val="endnote text"/>
    <w:basedOn w:val="Normal"/>
    <w:link w:val="EndnoteTextChar"/>
    <w:uiPriority w:val="99"/>
    <w:semiHidden/>
    <w:unhideWhenUsed/>
    <w:rsid w:val="00C00B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78"/>
    <w:rPr>
      <w:sz w:val="20"/>
      <w:szCs w:val="20"/>
    </w:rPr>
  </w:style>
  <w:style w:type="character" w:styleId="EndnoteReference">
    <w:name w:val="endnote reference"/>
    <w:basedOn w:val="DefaultParagraphFont"/>
    <w:uiPriority w:val="99"/>
    <w:semiHidden/>
    <w:unhideWhenUsed/>
    <w:rsid w:val="00C00B78"/>
    <w:rPr>
      <w:vertAlign w:val="superscript"/>
    </w:rPr>
  </w:style>
  <w:style w:type="paragraph" w:styleId="NormalWeb">
    <w:name w:val="Normal (Web)"/>
    <w:basedOn w:val="Normal"/>
    <w:uiPriority w:val="99"/>
    <w:semiHidden/>
    <w:unhideWhenUsed/>
    <w:rsid w:val="003C77EF"/>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033BB"/>
    <w:rPr>
      <w:color w:val="605E5C"/>
      <w:shd w:val="clear" w:color="auto" w:fill="E1DFDD"/>
    </w:rPr>
  </w:style>
  <w:style w:type="table" w:styleId="TableGrid">
    <w:name w:val="Table Grid"/>
    <w:basedOn w:val="TableNormal"/>
    <w:uiPriority w:val="39"/>
    <w:rsid w:val="00B64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3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6666">
      <w:bodyDiv w:val="1"/>
      <w:marLeft w:val="0"/>
      <w:marRight w:val="0"/>
      <w:marTop w:val="0"/>
      <w:marBottom w:val="0"/>
      <w:divBdr>
        <w:top w:val="none" w:sz="0" w:space="0" w:color="auto"/>
        <w:left w:val="none" w:sz="0" w:space="0" w:color="auto"/>
        <w:bottom w:val="none" w:sz="0" w:space="0" w:color="auto"/>
        <w:right w:val="none" w:sz="0" w:space="0" w:color="auto"/>
      </w:divBdr>
    </w:div>
    <w:div w:id="265385362">
      <w:bodyDiv w:val="1"/>
      <w:marLeft w:val="0"/>
      <w:marRight w:val="0"/>
      <w:marTop w:val="0"/>
      <w:marBottom w:val="0"/>
      <w:divBdr>
        <w:top w:val="none" w:sz="0" w:space="0" w:color="auto"/>
        <w:left w:val="none" w:sz="0" w:space="0" w:color="auto"/>
        <w:bottom w:val="none" w:sz="0" w:space="0" w:color="auto"/>
        <w:right w:val="none" w:sz="0" w:space="0" w:color="auto"/>
      </w:divBdr>
    </w:div>
    <w:div w:id="298152582">
      <w:bodyDiv w:val="1"/>
      <w:marLeft w:val="0"/>
      <w:marRight w:val="0"/>
      <w:marTop w:val="0"/>
      <w:marBottom w:val="0"/>
      <w:divBdr>
        <w:top w:val="none" w:sz="0" w:space="0" w:color="auto"/>
        <w:left w:val="none" w:sz="0" w:space="0" w:color="auto"/>
        <w:bottom w:val="none" w:sz="0" w:space="0" w:color="auto"/>
        <w:right w:val="none" w:sz="0" w:space="0" w:color="auto"/>
      </w:divBdr>
    </w:div>
    <w:div w:id="331370757">
      <w:bodyDiv w:val="1"/>
      <w:marLeft w:val="0"/>
      <w:marRight w:val="0"/>
      <w:marTop w:val="0"/>
      <w:marBottom w:val="0"/>
      <w:divBdr>
        <w:top w:val="none" w:sz="0" w:space="0" w:color="auto"/>
        <w:left w:val="none" w:sz="0" w:space="0" w:color="auto"/>
        <w:bottom w:val="none" w:sz="0" w:space="0" w:color="auto"/>
        <w:right w:val="none" w:sz="0" w:space="0" w:color="auto"/>
      </w:divBdr>
    </w:div>
    <w:div w:id="398285183">
      <w:bodyDiv w:val="1"/>
      <w:marLeft w:val="0"/>
      <w:marRight w:val="0"/>
      <w:marTop w:val="0"/>
      <w:marBottom w:val="0"/>
      <w:divBdr>
        <w:top w:val="none" w:sz="0" w:space="0" w:color="auto"/>
        <w:left w:val="none" w:sz="0" w:space="0" w:color="auto"/>
        <w:bottom w:val="none" w:sz="0" w:space="0" w:color="auto"/>
        <w:right w:val="none" w:sz="0" w:space="0" w:color="auto"/>
      </w:divBdr>
    </w:div>
    <w:div w:id="424889374">
      <w:bodyDiv w:val="1"/>
      <w:marLeft w:val="0"/>
      <w:marRight w:val="0"/>
      <w:marTop w:val="0"/>
      <w:marBottom w:val="0"/>
      <w:divBdr>
        <w:top w:val="none" w:sz="0" w:space="0" w:color="auto"/>
        <w:left w:val="none" w:sz="0" w:space="0" w:color="auto"/>
        <w:bottom w:val="none" w:sz="0" w:space="0" w:color="auto"/>
        <w:right w:val="none" w:sz="0" w:space="0" w:color="auto"/>
      </w:divBdr>
    </w:div>
    <w:div w:id="925191785">
      <w:bodyDiv w:val="1"/>
      <w:marLeft w:val="0"/>
      <w:marRight w:val="0"/>
      <w:marTop w:val="0"/>
      <w:marBottom w:val="0"/>
      <w:divBdr>
        <w:top w:val="none" w:sz="0" w:space="0" w:color="auto"/>
        <w:left w:val="none" w:sz="0" w:space="0" w:color="auto"/>
        <w:bottom w:val="none" w:sz="0" w:space="0" w:color="auto"/>
        <w:right w:val="none" w:sz="0" w:space="0" w:color="auto"/>
      </w:divBdr>
    </w:div>
    <w:div w:id="1068067239">
      <w:bodyDiv w:val="1"/>
      <w:marLeft w:val="0"/>
      <w:marRight w:val="0"/>
      <w:marTop w:val="0"/>
      <w:marBottom w:val="0"/>
      <w:divBdr>
        <w:top w:val="none" w:sz="0" w:space="0" w:color="auto"/>
        <w:left w:val="none" w:sz="0" w:space="0" w:color="auto"/>
        <w:bottom w:val="none" w:sz="0" w:space="0" w:color="auto"/>
        <w:right w:val="none" w:sz="0" w:space="0" w:color="auto"/>
      </w:divBdr>
    </w:div>
    <w:div w:id="1082602767">
      <w:bodyDiv w:val="1"/>
      <w:marLeft w:val="0"/>
      <w:marRight w:val="0"/>
      <w:marTop w:val="0"/>
      <w:marBottom w:val="0"/>
      <w:divBdr>
        <w:top w:val="none" w:sz="0" w:space="0" w:color="auto"/>
        <w:left w:val="none" w:sz="0" w:space="0" w:color="auto"/>
        <w:bottom w:val="none" w:sz="0" w:space="0" w:color="auto"/>
        <w:right w:val="none" w:sz="0" w:space="0" w:color="auto"/>
      </w:divBdr>
    </w:div>
    <w:div w:id="1097946194">
      <w:bodyDiv w:val="1"/>
      <w:marLeft w:val="0"/>
      <w:marRight w:val="0"/>
      <w:marTop w:val="0"/>
      <w:marBottom w:val="0"/>
      <w:divBdr>
        <w:top w:val="none" w:sz="0" w:space="0" w:color="auto"/>
        <w:left w:val="none" w:sz="0" w:space="0" w:color="auto"/>
        <w:bottom w:val="none" w:sz="0" w:space="0" w:color="auto"/>
        <w:right w:val="none" w:sz="0" w:space="0" w:color="auto"/>
      </w:divBdr>
    </w:div>
    <w:div w:id="1123425905">
      <w:bodyDiv w:val="1"/>
      <w:marLeft w:val="0"/>
      <w:marRight w:val="0"/>
      <w:marTop w:val="0"/>
      <w:marBottom w:val="0"/>
      <w:divBdr>
        <w:top w:val="none" w:sz="0" w:space="0" w:color="auto"/>
        <w:left w:val="none" w:sz="0" w:space="0" w:color="auto"/>
        <w:bottom w:val="none" w:sz="0" w:space="0" w:color="auto"/>
        <w:right w:val="none" w:sz="0" w:space="0" w:color="auto"/>
      </w:divBdr>
    </w:div>
    <w:div w:id="1458526111">
      <w:bodyDiv w:val="1"/>
      <w:marLeft w:val="0"/>
      <w:marRight w:val="0"/>
      <w:marTop w:val="0"/>
      <w:marBottom w:val="0"/>
      <w:divBdr>
        <w:top w:val="none" w:sz="0" w:space="0" w:color="auto"/>
        <w:left w:val="none" w:sz="0" w:space="0" w:color="auto"/>
        <w:bottom w:val="none" w:sz="0" w:space="0" w:color="auto"/>
        <w:right w:val="none" w:sz="0" w:space="0" w:color="auto"/>
      </w:divBdr>
    </w:div>
    <w:div w:id="1463770504">
      <w:bodyDiv w:val="1"/>
      <w:marLeft w:val="0"/>
      <w:marRight w:val="0"/>
      <w:marTop w:val="0"/>
      <w:marBottom w:val="0"/>
      <w:divBdr>
        <w:top w:val="none" w:sz="0" w:space="0" w:color="auto"/>
        <w:left w:val="none" w:sz="0" w:space="0" w:color="auto"/>
        <w:bottom w:val="none" w:sz="0" w:space="0" w:color="auto"/>
        <w:right w:val="none" w:sz="0" w:space="0" w:color="auto"/>
      </w:divBdr>
    </w:div>
    <w:div w:id="1672021327">
      <w:bodyDiv w:val="1"/>
      <w:marLeft w:val="0"/>
      <w:marRight w:val="0"/>
      <w:marTop w:val="0"/>
      <w:marBottom w:val="0"/>
      <w:divBdr>
        <w:top w:val="none" w:sz="0" w:space="0" w:color="auto"/>
        <w:left w:val="none" w:sz="0" w:space="0" w:color="auto"/>
        <w:bottom w:val="none" w:sz="0" w:space="0" w:color="auto"/>
        <w:right w:val="none" w:sz="0" w:space="0" w:color="auto"/>
      </w:divBdr>
    </w:div>
    <w:div w:id="1895193653">
      <w:bodyDiv w:val="1"/>
      <w:marLeft w:val="0"/>
      <w:marRight w:val="0"/>
      <w:marTop w:val="0"/>
      <w:marBottom w:val="0"/>
      <w:divBdr>
        <w:top w:val="none" w:sz="0" w:space="0" w:color="auto"/>
        <w:left w:val="none" w:sz="0" w:space="0" w:color="auto"/>
        <w:bottom w:val="none" w:sz="0" w:space="0" w:color="auto"/>
        <w:right w:val="none" w:sz="0" w:space="0" w:color="auto"/>
      </w:divBdr>
    </w:div>
    <w:div w:id="2063405056">
      <w:bodyDiv w:val="1"/>
      <w:marLeft w:val="0"/>
      <w:marRight w:val="0"/>
      <w:marTop w:val="0"/>
      <w:marBottom w:val="0"/>
      <w:divBdr>
        <w:top w:val="none" w:sz="0" w:space="0" w:color="auto"/>
        <w:left w:val="none" w:sz="0" w:space="0" w:color="auto"/>
        <w:bottom w:val="none" w:sz="0" w:space="0" w:color="auto"/>
        <w:right w:val="none" w:sz="0" w:space="0" w:color="auto"/>
      </w:divBdr>
    </w:div>
    <w:div w:id="20677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reporting.ouhsc.edu/" TargetMode="External"/><Relationship Id="rId18" Type="http://schemas.openxmlformats.org/officeDocument/2006/relationships/hyperlink" Target="https://www.cdc.gov/coronavirus/2019-ncov/community/disinfecting-building-facility.html" TargetMode="External"/><Relationship Id="rId26" Type="http://schemas.openxmlformats.org/officeDocument/2006/relationships/hyperlink" Target="https://covidreporting.ouhsc.edu/" TargetMode="External"/><Relationship Id="rId3" Type="http://schemas.openxmlformats.org/officeDocument/2006/relationships/styles" Target="styles.xml"/><Relationship Id="rId21" Type="http://schemas.openxmlformats.org/officeDocument/2006/relationships/hyperlink" Target="https://covidreporting.ouhsc.edu/" TargetMode="External"/><Relationship Id="rId7" Type="http://schemas.openxmlformats.org/officeDocument/2006/relationships/endnotes" Target="endnotes.xml"/><Relationship Id="rId12" Type="http://schemas.openxmlformats.org/officeDocument/2006/relationships/hyperlink" Target="https://covidreporting.ouhsc.edu/" TargetMode="External"/><Relationship Id="rId17" Type="http://schemas.openxmlformats.org/officeDocument/2006/relationships/hyperlink" Target="https://drive.google.com/drive/folders/1NMy1eWavH2mgxtW_BghoZncWaeEGzjuS"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prevent-getting-sick/diy-cloth-face-coverings.html" TargetMode="External"/><Relationship Id="rId20" Type="http://schemas.openxmlformats.org/officeDocument/2006/relationships/hyperlink" Target="http://www.ou.edu/ouit/workanywhere/get-started/equipment-sanitization" TargetMode="External"/><Relationship Id="rId29" Type="http://schemas.openxmlformats.org/officeDocument/2006/relationships/hyperlink" Target="https://compliance.ouhsc.edu/HRPP/COVID-19-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ouhsc.edu/Portals/1352a/Assets/documents/forms-handbooks-policies/ReturnToServicePlanChecklist.docx" TargetMode="External"/><Relationship Id="rId24" Type="http://schemas.openxmlformats.org/officeDocument/2006/relationships/hyperlink" Target="https://students.ouhsc.edu/Portals/1352a/Assets/documents/coronavirus/VisitorCOVID-19ScreeningandReportingForm.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forms/d/e/1FAIpQLSew4mOm-Da86CbkqdvNvxi9POqXufS-X94cIoM1x4HzBtbPTA/viewform" TargetMode="External"/><Relationship Id="rId23" Type="http://schemas.openxmlformats.org/officeDocument/2006/relationships/hyperlink" Target="https://covidreporting.ouhsc.edu/" TargetMode="External"/><Relationship Id="rId28" Type="http://schemas.openxmlformats.org/officeDocument/2006/relationships/hyperlink" Target="https://research.ouhsc.edu/Resources/COVID-Research-Updates" TargetMode="External"/><Relationship Id="rId10" Type="http://schemas.openxmlformats.org/officeDocument/2006/relationships/hyperlink" Target="https://covidreporting.ouhsc.edu/" TargetMode="External"/><Relationship Id="rId19" Type="http://schemas.openxmlformats.org/officeDocument/2006/relationships/hyperlink" Target="https://www.cdc.gov/coronavirus/2019-ncov/community/disinfecting-building-facility.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ou.edu/News/Coronavirus-COVID-19-Information" TargetMode="External"/><Relationship Id="rId14" Type="http://schemas.openxmlformats.org/officeDocument/2006/relationships/hyperlink" Target="https://www.cdc.gov/coronavirus/2019-ncov/prevent-getting-sick/cloth-face-cover.html" TargetMode="External"/><Relationship Id="rId22" Type="http://schemas.openxmlformats.org/officeDocument/2006/relationships/hyperlink" Target="https://covidreporting.ouhsc.edu/" TargetMode="External"/><Relationship Id="rId27" Type="http://schemas.openxmlformats.org/officeDocument/2006/relationships/hyperlink" Target="https://students.ouhsc.edu/Portals/1352a/Assets/documents/coronavirus/University%20Update%20on%20Travel%20Guidance_03102020_355pm.pdf" TargetMode="External"/><Relationship Id="rId30" Type="http://schemas.openxmlformats.org/officeDocument/2006/relationships/hyperlink" Target="https://www.ouhsc.edu/teachanywhere/" TargetMode="External"/><Relationship Id="rId8" Type="http://schemas.openxmlformats.org/officeDocument/2006/relationships/hyperlink" Target="https://www.ouhsc.edu/coronavir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mployeestudenthealth@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9191-A791-4CB5-B865-D263892C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Jill (HSC)</dc:creator>
  <cp:keywords/>
  <dc:description/>
  <cp:lastModifiedBy>Betty, Samuel C (HSC)</cp:lastModifiedBy>
  <cp:revision>5</cp:revision>
  <cp:lastPrinted>2020-06-24T20:33:00Z</cp:lastPrinted>
  <dcterms:created xsi:type="dcterms:W3CDTF">2020-07-15T14:03:00Z</dcterms:created>
  <dcterms:modified xsi:type="dcterms:W3CDTF">2020-07-15T14:05:00Z</dcterms:modified>
</cp:coreProperties>
</file>